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5DA6" w14:textId="77777777" w:rsidR="000D319A" w:rsidRPr="003072C8" w:rsidRDefault="000D319A" w:rsidP="000D319A"/>
    <w:p w14:paraId="5B6B4882" w14:textId="77777777" w:rsidR="00F62A1D" w:rsidRPr="00F62A1D" w:rsidRDefault="00F62A1D" w:rsidP="00F62A1D">
      <w:r w:rsidRPr="00F62A1D">
        <w:rPr>
          <w:b/>
          <w:bCs/>
        </w:rPr>
        <w:t>Review Cycle:</w:t>
      </w:r>
      <w:r w:rsidRPr="00F62A1D">
        <w:t xml:space="preserve"> Annual</w:t>
      </w:r>
    </w:p>
    <w:p w14:paraId="3DC99545" w14:textId="77777777" w:rsidR="00F62A1D" w:rsidRPr="00F62A1D" w:rsidRDefault="00F62A1D" w:rsidP="00F62A1D">
      <w:r w:rsidRPr="00F62A1D">
        <w:pict w14:anchorId="2BFB1BEE">
          <v:rect id="_x0000_i1031" style="width:0;height:1.5pt" o:hralign="center" o:hrstd="t" o:hr="t" fillcolor="#a0a0a0" stroked="f"/>
        </w:pict>
      </w:r>
    </w:p>
    <w:sdt>
      <w:sdtPr>
        <w:id w:val="1857766059"/>
        <w:docPartObj>
          <w:docPartGallery w:val="Table of Contents"/>
          <w:docPartUnique/>
        </w:docPartObj>
      </w:sdtPr>
      <w:sdtEndPr>
        <w:rPr>
          <w:rFonts w:asciiTheme="minorHAnsi" w:eastAsiaTheme="minorHAnsi" w:hAnsiTheme="minorHAnsi" w:cstheme="minorBidi"/>
          <w:b/>
          <w:bCs/>
          <w:noProof/>
          <w:color w:val="auto"/>
          <w:sz w:val="24"/>
          <w:szCs w:val="24"/>
          <w:lang w:val="en-GB"/>
        </w:rPr>
      </w:sdtEndPr>
      <w:sdtContent>
        <w:p w14:paraId="0E5A58D4" w14:textId="60629B03" w:rsidR="00AD0984" w:rsidRDefault="00AD0984">
          <w:pPr>
            <w:pStyle w:val="TOCHeading"/>
          </w:pPr>
          <w:r>
            <w:t>Sections</w:t>
          </w:r>
        </w:p>
        <w:p w14:paraId="7A9B5259" w14:textId="452B40A1" w:rsidR="00AD0984" w:rsidRDefault="00AD0984">
          <w:pPr>
            <w:pStyle w:val="TOC2"/>
            <w:tabs>
              <w:tab w:val="right" w:leader="dot" w:pos="9637"/>
            </w:tabs>
            <w:rPr>
              <w:noProof/>
            </w:rPr>
          </w:pPr>
          <w:r>
            <w:fldChar w:fldCharType="begin"/>
          </w:r>
          <w:r>
            <w:instrText xml:space="preserve"> TOC \o "1-3" \h \z \u </w:instrText>
          </w:r>
          <w:r>
            <w:fldChar w:fldCharType="separate"/>
          </w:r>
          <w:hyperlink w:anchor="_Toc228899482" w:history="1">
            <w:r w:rsidRPr="00106239">
              <w:rPr>
                <w:rStyle w:val="Hyperlink"/>
                <w:b/>
                <w:bCs/>
                <w:noProof/>
              </w:rPr>
              <w:t>1. Policy Statement</w:t>
            </w:r>
            <w:r>
              <w:rPr>
                <w:noProof/>
                <w:webHidden/>
              </w:rPr>
              <w:tab/>
            </w:r>
            <w:r>
              <w:rPr>
                <w:noProof/>
                <w:webHidden/>
              </w:rPr>
              <w:fldChar w:fldCharType="begin"/>
            </w:r>
            <w:r>
              <w:rPr>
                <w:noProof/>
                <w:webHidden/>
              </w:rPr>
              <w:instrText xml:space="preserve"> PAGEREF _Toc228899482 \h </w:instrText>
            </w:r>
            <w:r>
              <w:rPr>
                <w:noProof/>
                <w:webHidden/>
              </w:rPr>
            </w:r>
            <w:r>
              <w:rPr>
                <w:noProof/>
                <w:webHidden/>
              </w:rPr>
              <w:fldChar w:fldCharType="separate"/>
            </w:r>
            <w:r>
              <w:rPr>
                <w:noProof/>
                <w:webHidden/>
              </w:rPr>
              <w:t>1</w:t>
            </w:r>
            <w:r>
              <w:rPr>
                <w:noProof/>
                <w:webHidden/>
              </w:rPr>
              <w:fldChar w:fldCharType="end"/>
            </w:r>
          </w:hyperlink>
        </w:p>
        <w:p w14:paraId="33B32063" w14:textId="6F21D97B" w:rsidR="00AD0984" w:rsidRDefault="00AD0984">
          <w:pPr>
            <w:pStyle w:val="TOC2"/>
            <w:tabs>
              <w:tab w:val="right" w:leader="dot" w:pos="9637"/>
            </w:tabs>
            <w:rPr>
              <w:noProof/>
            </w:rPr>
          </w:pPr>
          <w:hyperlink w:anchor="_Toc228899483" w:history="1">
            <w:r w:rsidRPr="00106239">
              <w:rPr>
                <w:rStyle w:val="Hyperlink"/>
                <w:b/>
                <w:bCs/>
                <w:noProof/>
              </w:rPr>
              <w:t>2. Scope of the Policy</w:t>
            </w:r>
            <w:r>
              <w:rPr>
                <w:noProof/>
                <w:webHidden/>
              </w:rPr>
              <w:tab/>
            </w:r>
            <w:r>
              <w:rPr>
                <w:noProof/>
                <w:webHidden/>
              </w:rPr>
              <w:fldChar w:fldCharType="begin"/>
            </w:r>
            <w:r>
              <w:rPr>
                <w:noProof/>
                <w:webHidden/>
              </w:rPr>
              <w:instrText xml:space="preserve"> PAGEREF _Toc228899483 \h </w:instrText>
            </w:r>
            <w:r>
              <w:rPr>
                <w:noProof/>
                <w:webHidden/>
              </w:rPr>
            </w:r>
            <w:r>
              <w:rPr>
                <w:noProof/>
                <w:webHidden/>
              </w:rPr>
              <w:fldChar w:fldCharType="separate"/>
            </w:r>
            <w:r>
              <w:rPr>
                <w:noProof/>
                <w:webHidden/>
              </w:rPr>
              <w:t>1</w:t>
            </w:r>
            <w:r>
              <w:rPr>
                <w:noProof/>
                <w:webHidden/>
              </w:rPr>
              <w:fldChar w:fldCharType="end"/>
            </w:r>
          </w:hyperlink>
        </w:p>
        <w:p w14:paraId="79EE39C6" w14:textId="459F2E3F" w:rsidR="00AD0984" w:rsidRDefault="00AD0984">
          <w:pPr>
            <w:pStyle w:val="TOC2"/>
            <w:tabs>
              <w:tab w:val="right" w:leader="dot" w:pos="9637"/>
            </w:tabs>
            <w:rPr>
              <w:noProof/>
            </w:rPr>
          </w:pPr>
          <w:hyperlink w:anchor="_Toc228899484" w:history="1">
            <w:r w:rsidRPr="00106239">
              <w:rPr>
                <w:rStyle w:val="Hyperlink"/>
                <w:b/>
                <w:bCs/>
                <w:noProof/>
              </w:rPr>
              <w:t>3. Purpose of the Policy</w:t>
            </w:r>
            <w:r>
              <w:rPr>
                <w:noProof/>
                <w:webHidden/>
              </w:rPr>
              <w:tab/>
            </w:r>
            <w:r>
              <w:rPr>
                <w:noProof/>
                <w:webHidden/>
              </w:rPr>
              <w:fldChar w:fldCharType="begin"/>
            </w:r>
            <w:r>
              <w:rPr>
                <w:noProof/>
                <w:webHidden/>
              </w:rPr>
              <w:instrText xml:space="preserve"> PAGEREF _Toc228899484 \h </w:instrText>
            </w:r>
            <w:r>
              <w:rPr>
                <w:noProof/>
                <w:webHidden/>
              </w:rPr>
            </w:r>
            <w:r>
              <w:rPr>
                <w:noProof/>
                <w:webHidden/>
              </w:rPr>
              <w:fldChar w:fldCharType="separate"/>
            </w:r>
            <w:r>
              <w:rPr>
                <w:noProof/>
                <w:webHidden/>
              </w:rPr>
              <w:t>1</w:t>
            </w:r>
            <w:r>
              <w:rPr>
                <w:noProof/>
                <w:webHidden/>
              </w:rPr>
              <w:fldChar w:fldCharType="end"/>
            </w:r>
          </w:hyperlink>
        </w:p>
        <w:p w14:paraId="432B4988" w14:textId="4259DAC4" w:rsidR="00AD0984" w:rsidRDefault="00AD0984">
          <w:pPr>
            <w:pStyle w:val="TOC2"/>
            <w:tabs>
              <w:tab w:val="right" w:leader="dot" w:pos="9637"/>
            </w:tabs>
            <w:rPr>
              <w:noProof/>
            </w:rPr>
          </w:pPr>
          <w:hyperlink w:anchor="_Toc228899485" w:history="1">
            <w:r w:rsidRPr="00106239">
              <w:rPr>
                <w:rStyle w:val="Hyperlink"/>
                <w:b/>
                <w:bCs/>
                <w:noProof/>
              </w:rPr>
              <w:t>4. Legal and Regulatory Framework</w:t>
            </w:r>
            <w:r>
              <w:rPr>
                <w:noProof/>
                <w:webHidden/>
              </w:rPr>
              <w:tab/>
            </w:r>
            <w:r>
              <w:rPr>
                <w:noProof/>
                <w:webHidden/>
              </w:rPr>
              <w:fldChar w:fldCharType="begin"/>
            </w:r>
            <w:r>
              <w:rPr>
                <w:noProof/>
                <w:webHidden/>
              </w:rPr>
              <w:instrText xml:space="preserve"> PAGEREF _Toc228899485 \h </w:instrText>
            </w:r>
            <w:r>
              <w:rPr>
                <w:noProof/>
                <w:webHidden/>
              </w:rPr>
            </w:r>
            <w:r>
              <w:rPr>
                <w:noProof/>
                <w:webHidden/>
              </w:rPr>
              <w:fldChar w:fldCharType="separate"/>
            </w:r>
            <w:r>
              <w:rPr>
                <w:noProof/>
                <w:webHidden/>
              </w:rPr>
              <w:t>2</w:t>
            </w:r>
            <w:r>
              <w:rPr>
                <w:noProof/>
                <w:webHidden/>
              </w:rPr>
              <w:fldChar w:fldCharType="end"/>
            </w:r>
          </w:hyperlink>
        </w:p>
        <w:p w14:paraId="6EB0AFC2" w14:textId="53508B8C" w:rsidR="00AD0984" w:rsidRDefault="00AD0984">
          <w:pPr>
            <w:pStyle w:val="TOC2"/>
            <w:tabs>
              <w:tab w:val="right" w:leader="dot" w:pos="9637"/>
            </w:tabs>
            <w:rPr>
              <w:noProof/>
            </w:rPr>
          </w:pPr>
          <w:hyperlink w:anchor="_Toc228899486" w:history="1">
            <w:r w:rsidRPr="00106239">
              <w:rPr>
                <w:rStyle w:val="Hyperlink"/>
                <w:b/>
                <w:bCs/>
                <w:noProof/>
              </w:rPr>
              <w:t>5. Safeguarding Principles</w:t>
            </w:r>
            <w:r>
              <w:rPr>
                <w:noProof/>
                <w:webHidden/>
              </w:rPr>
              <w:tab/>
            </w:r>
            <w:r>
              <w:rPr>
                <w:noProof/>
                <w:webHidden/>
              </w:rPr>
              <w:fldChar w:fldCharType="begin"/>
            </w:r>
            <w:r>
              <w:rPr>
                <w:noProof/>
                <w:webHidden/>
              </w:rPr>
              <w:instrText xml:space="preserve"> PAGEREF _Toc228899486 \h </w:instrText>
            </w:r>
            <w:r>
              <w:rPr>
                <w:noProof/>
                <w:webHidden/>
              </w:rPr>
            </w:r>
            <w:r>
              <w:rPr>
                <w:noProof/>
                <w:webHidden/>
              </w:rPr>
              <w:fldChar w:fldCharType="separate"/>
            </w:r>
            <w:r>
              <w:rPr>
                <w:noProof/>
                <w:webHidden/>
              </w:rPr>
              <w:t>2</w:t>
            </w:r>
            <w:r>
              <w:rPr>
                <w:noProof/>
                <w:webHidden/>
              </w:rPr>
              <w:fldChar w:fldCharType="end"/>
            </w:r>
          </w:hyperlink>
        </w:p>
        <w:p w14:paraId="0B539F04" w14:textId="1055DC42" w:rsidR="00AD0984" w:rsidRDefault="00AD0984">
          <w:pPr>
            <w:pStyle w:val="TOC2"/>
            <w:tabs>
              <w:tab w:val="right" w:leader="dot" w:pos="9637"/>
            </w:tabs>
            <w:rPr>
              <w:noProof/>
            </w:rPr>
          </w:pPr>
          <w:hyperlink w:anchor="_Toc228899487" w:history="1">
            <w:r w:rsidRPr="00106239">
              <w:rPr>
                <w:rStyle w:val="Hyperlink"/>
                <w:b/>
                <w:bCs/>
                <w:noProof/>
              </w:rPr>
              <w:t>6. Adherence to Equality Act 2010</w:t>
            </w:r>
            <w:r>
              <w:rPr>
                <w:noProof/>
                <w:webHidden/>
              </w:rPr>
              <w:tab/>
            </w:r>
            <w:r>
              <w:rPr>
                <w:noProof/>
                <w:webHidden/>
              </w:rPr>
              <w:fldChar w:fldCharType="begin"/>
            </w:r>
            <w:r>
              <w:rPr>
                <w:noProof/>
                <w:webHidden/>
              </w:rPr>
              <w:instrText xml:space="preserve"> PAGEREF _Toc228899487 \h </w:instrText>
            </w:r>
            <w:r>
              <w:rPr>
                <w:noProof/>
                <w:webHidden/>
              </w:rPr>
            </w:r>
            <w:r>
              <w:rPr>
                <w:noProof/>
                <w:webHidden/>
              </w:rPr>
              <w:fldChar w:fldCharType="separate"/>
            </w:r>
            <w:r>
              <w:rPr>
                <w:noProof/>
                <w:webHidden/>
              </w:rPr>
              <w:t>6</w:t>
            </w:r>
            <w:r>
              <w:rPr>
                <w:noProof/>
                <w:webHidden/>
              </w:rPr>
              <w:fldChar w:fldCharType="end"/>
            </w:r>
          </w:hyperlink>
        </w:p>
        <w:p w14:paraId="2208018B" w14:textId="26119C25" w:rsidR="00AD0984" w:rsidRDefault="00AD0984">
          <w:pPr>
            <w:pStyle w:val="TOC2"/>
            <w:tabs>
              <w:tab w:val="right" w:leader="dot" w:pos="9637"/>
            </w:tabs>
            <w:rPr>
              <w:noProof/>
            </w:rPr>
          </w:pPr>
          <w:hyperlink w:anchor="_Toc228899488" w:history="1">
            <w:r w:rsidRPr="00106239">
              <w:rPr>
                <w:rStyle w:val="Hyperlink"/>
                <w:b/>
                <w:bCs/>
                <w:noProof/>
              </w:rPr>
              <w:t>8. Themes for Safeguarding</w:t>
            </w:r>
            <w:r>
              <w:rPr>
                <w:noProof/>
                <w:webHidden/>
              </w:rPr>
              <w:tab/>
            </w:r>
            <w:r>
              <w:rPr>
                <w:noProof/>
                <w:webHidden/>
              </w:rPr>
              <w:fldChar w:fldCharType="begin"/>
            </w:r>
            <w:r>
              <w:rPr>
                <w:noProof/>
                <w:webHidden/>
              </w:rPr>
              <w:instrText xml:space="preserve"> PAGEREF _Toc228899488 \h </w:instrText>
            </w:r>
            <w:r>
              <w:rPr>
                <w:noProof/>
                <w:webHidden/>
              </w:rPr>
            </w:r>
            <w:r>
              <w:rPr>
                <w:noProof/>
                <w:webHidden/>
              </w:rPr>
              <w:fldChar w:fldCharType="separate"/>
            </w:r>
            <w:r>
              <w:rPr>
                <w:noProof/>
                <w:webHidden/>
              </w:rPr>
              <w:t>8</w:t>
            </w:r>
            <w:r>
              <w:rPr>
                <w:noProof/>
                <w:webHidden/>
              </w:rPr>
              <w:fldChar w:fldCharType="end"/>
            </w:r>
          </w:hyperlink>
        </w:p>
        <w:p w14:paraId="283007F7" w14:textId="703771B1" w:rsidR="00AD0984" w:rsidRDefault="00AD0984">
          <w:pPr>
            <w:pStyle w:val="TOC2"/>
            <w:tabs>
              <w:tab w:val="right" w:leader="dot" w:pos="9637"/>
            </w:tabs>
            <w:rPr>
              <w:noProof/>
            </w:rPr>
          </w:pPr>
          <w:hyperlink w:anchor="_Toc228899489" w:history="1">
            <w:r w:rsidRPr="00106239">
              <w:rPr>
                <w:rStyle w:val="Hyperlink"/>
                <w:b/>
                <w:bCs/>
                <w:noProof/>
              </w:rPr>
              <w:t>9. ROLES AND RESPONSIBILITIES, APPLICABLE TO ALL</w:t>
            </w:r>
            <w:r>
              <w:rPr>
                <w:noProof/>
                <w:webHidden/>
              </w:rPr>
              <w:tab/>
            </w:r>
            <w:r>
              <w:rPr>
                <w:noProof/>
                <w:webHidden/>
              </w:rPr>
              <w:fldChar w:fldCharType="begin"/>
            </w:r>
            <w:r>
              <w:rPr>
                <w:noProof/>
                <w:webHidden/>
              </w:rPr>
              <w:instrText xml:space="preserve"> PAGEREF _Toc228899489 \h </w:instrText>
            </w:r>
            <w:r>
              <w:rPr>
                <w:noProof/>
                <w:webHidden/>
              </w:rPr>
            </w:r>
            <w:r>
              <w:rPr>
                <w:noProof/>
                <w:webHidden/>
              </w:rPr>
              <w:fldChar w:fldCharType="separate"/>
            </w:r>
            <w:r>
              <w:rPr>
                <w:noProof/>
                <w:webHidden/>
              </w:rPr>
              <w:t>8</w:t>
            </w:r>
            <w:r>
              <w:rPr>
                <w:noProof/>
                <w:webHidden/>
              </w:rPr>
              <w:fldChar w:fldCharType="end"/>
            </w:r>
          </w:hyperlink>
        </w:p>
        <w:p w14:paraId="55AE59BC" w14:textId="2EF2D202" w:rsidR="00AD0984" w:rsidRDefault="00AD0984">
          <w:pPr>
            <w:pStyle w:val="TOC2"/>
            <w:tabs>
              <w:tab w:val="right" w:leader="dot" w:pos="9637"/>
            </w:tabs>
            <w:rPr>
              <w:noProof/>
            </w:rPr>
          </w:pPr>
          <w:hyperlink w:anchor="_Toc228899490" w:history="1">
            <w:r w:rsidRPr="00106239">
              <w:rPr>
                <w:rStyle w:val="Hyperlink"/>
                <w:b/>
                <w:bCs/>
                <w:noProof/>
              </w:rPr>
              <w:t>10. Reasonable Adjustments</w:t>
            </w:r>
            <w:r>
              <w:rPr>
                <w:noProof/>
                <w:webHidden/>
              </w:rPr>
              <w:tab/>
            </w:r>
            <w:r>
              <w:rPr>
                <w:noProof/>
                <w:webHidden/>
              </w:rPr>
              <w:fldChar w:fldCharType="begin"/>
            </w:r>
            <w:r>
              <w:rPr>
                <w:noProof/>
                <w:webHidden/>
              </w:rPr>
              <w:instrText xml:space="preserve"> PAGEREF _Toc228899490 \h </w:instrText>
            </w:r>
            <w:r>
              <w:rPr>
                <w:noProof/>
                <w:webHidden/>
              </w:rPr>
            </w:r>
            <w:r>
              <w:rPr>
                <w:noProof/>
                <w:webHidden/>
              </w:rPr>
              <w:fldChar w:fldCharType="separate"/>
            </w:r>
            <w:r>
              <w:rPr>
                <w:noProof/>
                <w:webHidden/>
              </w:rPr>
              <w:t>11</w:t>
            </w:r>
            <w:r>
              <w:rPr>
                <w:noProof/>
                <w:webHidden/>
              </w:rPr>
              <w:fldChar w:fldCharType="end"/>
            </w:r>
          </w:hyperlink>
        </w:p>
        <w:p w14:paraId="1CB55452" w14:textId="3138A81E" w:rsidR="00AD0984" w:rsidRDefault="00AD0984">
          <w:pPr>
            <w:pStyle w:val="TOC2"/>
            <w:tabs>
              <w:tab w:val="right" w:leader="dot" w:pos="9637"/>
            </w:tabs>
            <w:rPr>
              <w:noProof/>
            </w:rPr>
          </w:pPr>
          <w:hyperlink w:anchor="_Toc228899491" w:history="1">
            <w:r w:rsidRPr="00106239">
              <w:rPr>
                <w:rStyle w:val="Hyperlink"/>
                <w:b/>
                <w:bCs/>
                <w:noProof/>
              </w:rPr>
              <w:t>11. Radicalisation, Violent Extremism, and Terrorism</w:t>
            </w:r>
            <w:r>
              <w:rPr>
                <w:noProof/>
                <w:webHidden/>
              </w:rPr>
              <w:tab/>
            </w:r>
            <w:r>
              <w:rPr>
                <w:noProof/>
                <w:webHidden/>
              </w:rPr>
              <w:fldChar w:fldCharType="begin"/>
            </w:r>
            <w:r>
              <w:rPr>
                <w:noProof/>
                <w:webHidden/>
              </w:rPr>
              <w:instrText xml:space="preserve"> PAGEREF _Toc228899491 \h </w:instrText>
            </w:r>
            <w:r>
              <w:rPr>
                <w:noProof/>
                <w:webHidden/>
              </w:rPr>
            </w:r>
            <w:r>
              <w:rPr>
                <w:noProof/>
                <w:webHidden/>
              </w:rPr>
              <w:fldChar w:fldCharType="separate"/>
            </w:r>
            <w:r>
              <w:rPr>
                <w:noProof/>
                <w:webHidden/>
              </w:rPr>
              <w:t>11</w:t>
            </w:r>
            <w:r>
              <w:rPr>
                <w:noProof/>
                <w:webHidden/>
              </w:rPr>
              <w:fldChar w:fldCharType="end"/>
            </w:r>
          </w:hyperlink>
        </w:p>
        <w:p w14:paraId="73708B27" w14:textId="53AE33FB" w:rsidR="00AD0984" w:rsidRDefault="00AD0984">
          <w:pPr>
            <w:pStyle w:val="TOC2"/>
            <w:tabs>
              <w:tab w:val="right" w:leader="dot" w:pos="9637"/>
            </w:tabs>
            <w:rPr>
              <w:noProof/>
            </w:rPr>
          </w:pPr>
          <w:hyperlink w:anchor="_Toc228899492" w:history="1">
            <w:r w:rsidRPr="00106239">
              <w:rPr>
                <w:rStyle w:val="Hyperlink"/>
                <w:b/>
                <w:bCs/>
                <w:noProof/>
              </w:rPr>
              <w:t>12 REPORTING SYSTEMS FOR YOUNG PEOPLE AND VULNERABLE ADULTS</w:t>
            </w:r>
            <w:r>
              <w:rPr>
                <w:noProof/>
                <w:webHidden/>
              </w:rPr>
              <w:tab/>
            </w:r>
            <w:r>
              <w:rPr>
                <w:noProof/>
                <w:webHidden/>
              </w:rPr>
              <w:fldChar w:fldCharType="begin"/>
            </w:r>
            <w:r>
              <w:rPr>
                <w:noProof/>
                <w:webHidden/>
              </w:rPr>
              <w:instrText xml:space="preserve"> PAGEREF _Toc228899492 \h </w:instrText>
            </w:r>
            <w:r>
              <w:rPr>
                <w:noProof/>
                <w:webHidden/>
              </w:rPr>
            </w:r>
            <w:r>
              <w:rPr>
                <w:noProof/>
                <w:webHidden/>
              </w:rPr>
              <w:fldChar w:fldCharType="separate"/>
            </w:r>
            <w:r>
              <w:rPr>
                <w:noProof/>
                <w:webHidden/>
              </w:rPr>
              <w:t>13</w:t>
            </w:r>
            <w:r>
              <w:rPr>
                <w:noProof/>
                <w:webHidden/>
              </w:rPr>
              <w:fldChar w:fldCharType="end"/>
            </w:r>
          </w:hyperlink>
        </w:p>
        <w:p w14:paraId="3F974E4E" w14:textId="5665DEC1" w:rsidR="00AD0984" w:rsidRDefault="00AD0984">
          <w:pPr>
            <w:pStyle w:val="TOC2"/>
            <w:tabs>
              <w:tab w:val="right" w:leader="dot" w:pos="9637"/>
            </w:tabs>
            <w:rPr>
              <w:noProof/>
            </w:rPr>
          </w:pPr>
          <w:hyperlink w:anchor="_Toc228899493" w:history="1">
            <w:r w:rsidRPr="00106239">
              <w:rPr>
                <w:rStyle w:val="Hyperlink"/>
                <w:b/>
                <w:bCs/>
                <w:noProof/>
              </w:rPr>
              <w:t>PROTECTING THE ADULT TEAM (STAFF AND VOLUNTEERS)</w:t>
            </w:r>
            <w:r>
              <w:rPr>
                <w:noProof/>
                <w:webHidden/>
              </w:rPr>
              <w:tab/>
            </w:r>
            <w:r>
              <w:rPr>
                <w:noProof/>
                <w:webHidden/>
              </w:rPr>
              <w:fldChar w:fldCharType="begin"/>
            </w:r>
            <w:r>
              <w:rPr>
                <w:noProof/>
                <w:webHidden/>
              </w:rPr>
              <w:instrText xml:space="preserve"> PAGEREF _Toc228899493 \h </w:instrText>
            </w:r>
            <w:r>
              <w:rPr>
                <w:noProof/>
                <w:webHidden/>
              </w:rPr>
            </w:r>
            <w:r>
              <w:rPr>
                <w:noProof/>
                <w:webHidden/>
              </w:rPr>
              <w:fldChar w:fldCharType="separate"/>
            </w:r>
            <w:r>
              <w:rPr>
                <w:noProof/>
                <w:webHidden/>
              </w:rPr>
              <w:t>15</w:t>
            </w:r>
            <w:r>
              <w:rPr>
                <w:noProof/>
                <w:webHidden/>
              </w:rPr>
              <w:fldChar w:fldCharType="end"/>
            </w:r>
          </w:hyperlink>
        </w:p>
        <w:p w14:paraId="2AA3D8FC" w14:textId="5DBEB04C" w:rsidR="00AD0984" w:rsidRDefault="00AD0984">
          <w:pPr>
            <w:pStyle w:val="TOC2"/>
            <w:tabs>
              <w:tab w:val="right" w:leader="dot" w:pos="9637"/>
            </w:tabs>
            <w:rPr>
              <w:noProof/>
            </w:rPr>
          </w:pPr>
          <w:hyperlink w:anchor="_Toc228899494" w:history="1">
            <w:r w:rsidRPr="00106239">
              <w:rPr>
                <w:rStyle w:val="Hyperlink"/>
                <w:b/>
                <w:bCs/>
                <w:noProof/>
              </w:rPr>
              <w:t>Photography</w:t>
            </w:r>
            <w:r>
              <w:rPr>
                <w:noProof/>
                <w:webHidden/>
              </w:rPr>
              <w:tab/>
            </w:r>
            <w:r>
              <w:rPr>
                <w:noProof/>
                <w:webHidden/>
              </w:rPr>
              <w:fldChar w:fldCharType="begin"/>
            </w:r>
            <w:r>
              <w:rPr>
                <w:noProof/>
                <w:webHidden/>
              </w:rPr>
              <w:instrText xml:space="preserve"> PAGEREF _Toc228899494 \h </w:instrText>
            </w:r>
            <w:r>
              <w:rPr>
                <w:noProof/>
                <w:webHidden/>
              </w:rPr>
            </w:r>
            <w:r>
              <w:rPr>
                <w:noProof/>
                <w:webHidden/>
              </w:rPr>
              <w:fldChar w:fldCharType="separate"/>
            </w:r>
            <w:r>
              <w:rPr>
                <w:noProof/>
                <w:webHidden/>
              </w:rPr>
              <w:t>16</w:t>
            </w:r>
            <w:r>
              <w:rPr>
                <w:noProof/>
                <w:webHidden/>
              </w:rPr>
              <w:fldChar w:fldCharType="end"/>
            </w:r>
          </w:hyperlink>
        </w:p>
        <w:p w14:paraId="6AC7FC6F" w14:textId="4037B437" w:rsidR="00AD0984" w:rsidRDefault="00AD0984">
          <w:pPr>
            <w:pStyle w:val="TOC2"/>
            <w:tabs>
              <w:tab w:val="right" w:leader="dot" w:pos="9637"/>
            </w:tabs>
            <w:rPr>
              <w:noProof/>
            </w:rPr>
          </w:pPr>
          <w:hyperlink w:anchor="_Toc228899495" w:history="1">
            <w:r w:rsidRPr="00106239">
              <w:rPr>
                <w:rStyle w:val="Hyperlink"/>
                <w:b/>
                <w:bCs/>
                <w:noProof/>
              </w:rPr>
              <w:t>Confidentiality</w:t>
            </w:r>
            <w:r>
              <w:rPr>
                <w:noProof/>
                <w:webHidden/>
              </w:rPr>
              <w:tab/>
            </w:r>
            <w:r>
              <w:rPr>
                <w:noProof/>
                <w:webHidden/>
              </w:rPr>
              <w:fldChar w:fldCharType="begin"/>
            </w:r>
            <w:r>
              <w:rPr>
                <w:noProof/>
                <w:webHidden/>
              </w:rPr>
              <w:instrText xml:space="preserve"> PAGEREF _Toc228899495 \h </w:instrText>
            </w:r>
            <w:r>
              <w:rPr>
                <w:noProof/>
                <w:webHidden/>
              </w:rPr>
            </w:r>
            <w:r>
              <w:rPr>
                <w:noProof/>
                <w:webHidden/>
              </w:rPr>
              <w:fldChar w:fldCharType="separate"/>
            </w:r>
            <w:r>
              <w:rPr>
                <w:noProof/>
                <w:webHidden/>
              </w:rPr>
              <w:t>16</w:t>
            </w:r>
            <w:r>
              <w:rPr>
                <w:noProof/>
                <w:webHidden/>
              </w:rPr>
              <w:fldChar w:fldCharType="end"/>
            </w:r>
          </w:hyperlink>
        </w:p>
        <w:p w14:paraId="3B0E7A9B" w14:textId="5E2BC590" w:rsidR="00AD0984" w:rsidRDefault="00AD0984">
          <w:r>
            <w:rPr>
              <w:b/>
              <w:bCs/>
              <w:noProof/>
            </w:rPr>
            <w:fldChar w:fldCharType="end"/>
          </w:r>
          <w:r w:rsidR="003B0426">
            <w:rPr>
              <w:b/>
              <w:bCs/>
              <w:noProof/>
            </w:rPr>
            <w:br/>
          </w:r>
        </w:p>
      </w:sdtContent>
    </w:sdt>
    <w:p w14:paraId="2B912E40" w14:textId="77777777" w:rsidR="003B0426" w:rsidRDefault="003B0426">
      <w:pPr>
        <w:rPr>
          <w:rFonts w:asciiTheme="majorHAnsi" w:eastAsiaTheme="majorEastAsia" w:hAnsiTheme="majorHAnsi" w:cstheme="majorBidi"/>
          <w:b/>
          <w:bCs/>
          <w:color w:val="0F4761" w:themeColor="accent1" w:themeShade="BF"/>
          <w:sz w:val="32"/>
          <w:szCs w:val="32"/>
        </w:rPr>
      </w:pPr>
      <w:bookmarkStart w:id="0" w:name="_Toc228899482"/>
      <w:r>
        <w:rPr>
          <w:b/>
          <w:bCs/>
        </w:rPr>
        <w:br w:type="page"/>
      </w:r>
    </w:p>
    <w:p w14:paraId="79703D12" w14:textId="71497EC5" w:rsidR="00F62A1D" w:rsidRPr="00F62A1D" w:rsidRDefault="00F62A1D" w:rsidP="00F62A1D">
      <w:pPr>
        <w:pStyle w:val="Heading2"/>
        <w:rPr>
          <w:b/>
          <w:bCs/>
        </w:rPr>
      </w:pPr>
      <w:r w:rsidRPr="00F62A1D">
        <w:rPr>
          <w:b/>
          <w:bCs/>
        </w:rPr>
        <w:lastRenderedPageBreak/>
        <w:t>1. Policy Statement</w:t>
      </w:r>
      <w:bookmarkEnd w:id="0"/>
      <w:r w:rsidRPr="00F62A1D">
        <w:rPr>
          <w:b/>
          <w:bCs/>
        </w:rPr>
        <w:br/>
      </w:r>
    </w:p>
    <w:p w14:paraId="61E3E6E7" w14:textId="4B043B99" w:rsidR="00F62A1D" w:rsidRPr="00F62A1D" w:rsidRDefault="00F62A1D" w:rsidP="00F62A1D">
      <w:r w:rsidRPr="00F62A1D">
        <w:t xml:space="preserve">Nantwich Youth and Community Centre </w:t>
      </w:r>
      <w:proofErr w:type="gramStart"/>
      <w:r w:rsidRPr="00F62A1D">
        <w:t>is</w:t>
      </w:r>
      <w:proofErr w:type="gramEnd"/>
      <w:r w:rsidRPr="00F62A1D">
        <w:t xml:space="preserve"> fully committed to safeguarding and promoting the welfare of all children, young people, and vulnerable adults who access its services. We recognise that safeguarding is everyone’s responsibility and that the safety and protection of those in our care must take precedence over all other considerations. </w:t>
      </w:r>
      <w:r w:rsidR="005A5156">
        <w:br/>
      </w:r>
    </w:p>
    <w:p w14:paraId="7F1E266C" w14:textId="77777777" w:rsidR="00F62A1D" w:rsidRPr="00F62A1D" w:rsidRDefault="00F62A1D" w:rsidP="00F62A1D">
      <w:r w:rsidRPr="00F62A1D">
        <w:t>We believe that no child, young person, or vulnerable adult should experience abuse of any kind and we are committed to creating a safe, supportive, and inclusive environment in which individuals are listened to, respected, and protected from harm</w:t>
      </w:r>
    </w:p>
    <w:p w14:paraId="34886D94" w14:textId="77777777" w:rsidR="000D319A" w:rsidRPr="004D0678" w:rsidRDefault="000D319A" w:rsidP="004D0678">
      <w:pPr>
        <w:pStyle w:val="Heading2"/>
        <w:rPr>
          <w:b/>
          <w:bCs/>
        </w:rPr>
      </w:pPr>
    </w:p>
    <w:p w14:paraId="6F15B622" w14:textId="77777777" w:rsidR="004D0678" w:rsidRPr="004D0678" w:rsidRDefault="001A0291" w:rsidP="004D0678">
      <w:pPr>
        <w:pStyle w:val="Heading2"/>
        <w:rPr>
          <w:b/>
          <w:bCs/>
        </w:rPr>
      </w:pPr>
      <w:r w:rsidRPr="004D0678">
        <w:rPr>
          <w:b/>
          <w:bCs/>
        </w:rPr>
        <w:t> </w:t>
      </w:r>
      <w:bookmarkStart w:id="1" w:name="_Toc228899483"/>
      <w:r w:rsidR="004D0678" w:rsidRPr="004D0678">
        <w:rPr>
          <w:b/>
          <w:bCs/>
        </w:rPr>
        <w:t>2. Scope of the Policy</w:t>
      </w:r>
      <w:bookmarkEnd w:id="1"/>
    </w:p>
    <w:p w14:paraId="2A301700" w14:textId="2EF92A31" w:rsidR="001A0291" w:rsidRPr="001A0291" w:rsidRDefault="001A0291" w:rsidP="001A0291"/>
    <w:p w14:paraId="2C7EAA2F" w14:textId="77777777" w:rsidR="004D0678" w:rsidRPr="004D0678" w:rsidRDefault="004D0678" w:rsidP="004D0678">
      <w:r w:rsidRPr="004D0678">
        <w:t xml:space="preserve">This policy applies to </w:t>
      </w:r>
      <w:r w:rsidRPr="004D0678">
        <w:rPr>
          <w:b/>
          <w:bCs/>
        </w:rPr>
        <w:t>all</w:t>
      </w:r>
      <w:r w:rsidRPr="004D0678">
        <w:t xml:space="preserve"> paid staff, trustees, committee members, volunteers, sessional workers, young leaders, contractors, and anyone acting on behalf of Nantwich Youth and Community Centre. All such individuals have a duty of care to safeguard and promote the welfare of children, young people, and—where applicable—vulnerable adults.</w:t>
      </w:r>
    </w:p>
    <w:p w14:paraId="1DEDEEC2" w14:textId="77777777" w:rsidR="001A0291" w:rsidRPr="001A0291" w:rsidRDefault="001A0291" w:rsidP="001A0291">
      <w:r w:rsidRPr="001A0291">
        <w:t> </w:t>
      </w:r>
    </w:p>
    <w:p w14:paraId="4BED4A90" w14:textId="77777777" w:rsidR="001A0291" w:rsidRPr="001A0291" w:rsidRDefault="001A0291" w:rsidP="001A0291">
      <w:r w:rsidRPr="001A0291">
        <w:rPr>
          <w:b/>
          <w:bCs/>
        </w:rPr>
        <w:t>All adults will be provided with a copy of this policy and requested to indicate their commitment to it by signing a declaration to say that they have read it and will adhere to it. </w:t>
      </w:r>
      <w:r w:rsidRPr="001A0291">
        <w:t> </w:t>
      </w:r>
      <w:r w:rsidRPr="001A0291">
        <w:br/>
        <w:t> </w:t>
      </w:r>
      <w:r w:rsidRPr="001A0291">
        <w:br/>
        <w:t>The declaration will be </w:t>
      </w:r>
    </w:p>
    <w:p w14:paraId="69525817" w14:textId="77777777" w:rsidR="001A0291" w:rsidRPr="001A0291" w:rsidRDefault="001A0291" w:rsidP="001A0291">
      <w:r w:rsidRPr="001A0291">
        <w:t>held securely in club records in line with the General Data Protection Regulation Policy. </w:t>
      </w:r>
    </w:p>
    <w:p w14:paraId="170A6C22" w14:textId="77777777" w:rsidR="001A0291" w:rsidRPr="001A0291" w:rsidRDefault="001A0291" w:rsidP="001A0291">
      <w:r w:rsidRPr="001A0291">
        <w:t>The purpose of this policy: </w:t>
      </w:r>
    </w:p>
    <w:p w14:paraId="05E31EE9" w14:textId="77777777" w:rsidR="001A0291" w:rsidRPr="001A0291" w:rsidRDefault="001A0291" w:rsidP="001A0291">
      <w:r w:rsidRPr="001A0291">
        <w:t>•      to protect children and young people who access Nantwich Youth and Community </w:t>
      </w:r>
    </w:p>
    <w:p w14:paraId="752579DA" w14:textId="77777777" w:rsidR="001A0291" w:rsidRPr="001A0291" w:rsidRDefault="001A0291" w:rsidP="001A0291">
      <w:r w:rsidRPr="001A0291">
        <w:t> Centre services. </w:t>
      </w:r>
    </w:p>
    <w:p w14:paraId="39C09CA7" w14:textId="77777777" w:rsidR="001A0291" w:rsidRPr="001A0291" w:rsidRDefault="001A0291" w:rsidP="001A0291">
      <w:r w:rsidRPr="001A0291">
        <w:t>•      to provide adults with the overarching principles that guide our approach to safeguarding and child protection. </w:t>
      </w:r>
    </w:p>
    <w:p w14:paraId="2D468145" w14:textId="77777777" w:rsidR="001A0291" w:rsidRPr="001A0291" w:rsidRDefault="001A0291" w:rsidP="001A0291">
      <w:r w:rsidRPr="001A0291">
        <w:t> </w:t>
      </w:r>
    </w:p>
    <w:p w14:paraId="2E23401E" w14:textId="794B9458" w:rsidR="00587E18" w:rsidRDefault="001A0291" w:rsidP="00587E18">
      <w:pPr>
        <w:pStyle w:val="Heading2"/>
        <w:rPr>
          <w:b/>
          <w:bCs/>
        </w:rPr>
      </w:pPr>
      <w:r w:rsidRPr="001A0291">
        <w:t> </w:t>
      </w:r>
      <w:bookmarkStart w:id="2" w:name="_Toc228899484"/>
      <w:r w:rsidR="00587E18" w:rsidRPr="00587E18">
        <w:rPr>
          <w:b/>
          <w:bCs/>
        </w:rPr>
        <w:t>3. Purpose of the Policy</w:t>
      </w:r>
      <w:bookmarkEnd w:id="2"/>
    </w:p>
    <w:p w14:paraId="6254ECEE" w14:textId="77777777" w:rsidR="008B18F5" w:rsidRPr="008B18F5" w:rsidRDefault="008B18F5" w:rsidP="008B18F5">
      <w:r w:rsidRPr="008B18F5">
        <w:t>The purpose of this policy is to:</w:t>
      </w:r>
    </w:p>
    <w:p w14:paraId="6F1247F1" w14:textId="77777777" w:rsidR="008B18F5" w:rsidRPr="008B18F5" w:rsidRDefault="008B18F5" w:rsidP="008B18F5">
      <w:pPr>
        <w:numPr>
          <w:ilvl w:val="0"/>
          <w:numId w:val="1"/>
        </w:numPr>
      </w:pPr>
      <w:r w:rsidRPr="008B18F5">
        <w:t>Protect children, young people, and vulnerable adults who access NYCC services</w:t>
      </w:r>
    </w:p>
    <w:p w14:paraId="2B5ECE74" w14:textId="77777777" w:rsidR="008B18F5" w:rsidRPr="008B18F5" w:rsidRDefault="008B18F5" w:rsidP="008B18F5">
      <w:pPr>
        <w:numPr>
          <w:ilvl w:val="0"/>
          <w:numId w:val="1"/>
        </w:numPr>
      </w:pPr>
      <w:r w:rsidRPr="008B18F5">
        <w:t>Provide clear safeguarding principles to guide all adults working on behalf of NYCC</w:t>
      </w:r>
    </w:p>
    <w:p w14:paraId="6F23132D" w14:textId="77777777" w:rsidR="008B18F5" w:rsidRPr="008B18F5" w:rsidRDefault="008B18F5" w:rsidP="008B18F5">
      <w:pPr>
        <w:numPr>
          <w:ilvl w:val="0"/>
          <w:numId w:val="1"/>
        </w:numPr>
      </w:pPr>
      <w:r w:rsidRPr="008B18F5">
        <w:t>Promote a culture of vigilance, listening, and timely action</w:t>
      </w:r>
    </w:p>
    <w:p w14:paraId="2FA399CA" w14:textId="77777777" w:rsidR="008B18F5" w:rsidRPr="008B18F5" w:rsidRDefault="008B18F5" w:rsidP="008B18F5">
      <w:pPr>
        <w:numPr>
          <w:ilvl w:val="0"/>
          <w:numId w:val="1"/>
        </w:numPr>
      </w:pPr>
      <w:r w:rsidRPr="008B18F5">
        <w:t>Ensure concerns are identified, recorded, and acted upon appropriately</w:t>
      </w:r>
    </w:p>
    <w:p w14:paraId="47BA371E" w14:textId="77777777" w:rsidR="008B18F5" w:rsidRPr="008B18F5" w:rsidRDefault="008B18F5" w:rsidP="008B18F5"/>
    <w:p w14:paraId="23928E1C" w14:textId="77777777" w:rsidR="008B18F5" w:rsidRDefault="008B18F5" w:rsidP="001A0291"/>
    <w:p w14:paraId="530204F2" w14:textId="77777777" w:rsidR="008B18F5" w:rsidRPr="008B18F5" w:rsidRDefault="008B18F5" w:rsidP="008B18F5">
      <w:pPr>
        <w:pStyle w:val="Heading2"/>
        <w:rPr>
          <w:b/>
          <w:bCs/>
        </w:rPr>
      </w:pPr>
      <w:bookmarkStart w:id="3" w:name="_Toc228899485"/>
      <w:r w:rsidRPr="008B18F5">
        <w:rPr>
          <w:b/>
          <w:bCs/>
        </w:rPr>
        <w:lastRenderedPageBreak/>
        <w:t>4. Legal and Regulatory Framework</w:t>
      </w:r>
      <w:bookmarkEnd w:id="3"/>
    </w:p>
    <w:p w14:paraId="069B708E" w14:textId="77777777" w:rsidR="008B18F5" w:rsidRDefault="008B18F5" w:rsidP="001A0291"/>
    <w:p w14:paraId="6ED77225" w14:textId="58935EFE" w:rsidR="00597F98" w:rsidRPr="00597F98" w:rsidRDefault="00597F98" w:rsidP="00597F98">
      <w:r w:rsidRPr="00597F98">
        <w:t>This policy is informed by and complies with the relevant legislation and statutory guidance, including but not limited to</w:t>
      </w:r>
      <w:r>
        <w:t>:</w:t>
      </w:r>
      <w:r>
        <w:br/>
      </w:r>
    </w:p>
    <w:tbl>
      <w:tblPr>
        <w:tblW w:w="7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6000"/>
      </w:tblGrid>
      <w:tr w:rsidR="001A0291" w:rsidRPr="001A0291" w14:paraId="490F0B1B" w14:textId="77777777" w:rsidTr="00597F98">
        <w:trPr>
          <w:trHeight w:val="255"/>
        </w:trPr>
        <w:tc>
          <w:tcPr>
            <w:tcW w:w="1110" w:type="dxa"/>
            <w:tcBorders>
              <w:top w:val="nil"/>
              <w:left w:val="nil"/>
              <w:bottom w:val="nil"/>
              <w:right w:val="nil"/>
            </w:tcBorders>
            <w:hideMark/>
          </w:tcPr>
          <w:p w14:paraId="3EBA2C82" w14:textId="77777777" w:rsidR="001A0291" w:rsidRPr="001A0291" w:rsidRDefault="001A0291" w:rsidP="001A0291">
            <w:r w:rsidRPr="001A0291">
              <w:t>• </w:t>
            </w:r>
          </w:p>
        </w:tc>
        <w:tc>
          <w:tcPr>
            <w:tcW w:w="6000" w:type="dxa"/>
            <w:tcBorders>
              <w:top w:val="nil"/>
              <w:left w:val="nil"/>
              <w:bottom w:val="nil"/>
              <w:right w:val="nil"/>
            </w:tcBorders>
            <w:hideMark/>
          </w:tcPr>
          <w:p w14:paraId="074A50EB" w14:textId="77777777" w:rsidR="001A0291" w:rsidRPr="001A0291" w:rsidRDefault="001A0291" w:rsidP="001A0291">
            <w:r w:rsidRPr="001A0291">
              <w:t>Children Act 1989 </w:t>
            </w:r>
          </w:p>
        </w:tc>
      </w:tr>
      <w:tr w:rsidR="001A0291" w:rsidRPr="001A0291" w14:paraId="2FFCA5D7" w14:textId="77777777" w:rsidTr="00597F98">
        <w:trPr>
          <w:trHeight w:val="255"/>
        </w:trPr>
        <w:tc>
          <w:tcPr>
            <w:tcW w:w="1110" w:type="dxa"/>
            <w:tcBorders>
              <w:top w:val="nil"/>
              <w:left w:val="nil"/>
              <w:bottom w:val="nil"/>
              <w:right w:val="nil"/>
            </w:tcBorders>
            <w:hideMark/>
          </w:tcPr>
          <w:p w14:paraId="6129EC70" w14:textId="77777777" w:rsidR="001A0291" w:rsidRPr="001A0291" w:rsidRDefault="001A0291" w:rsidP="001A0291">
            <w:r w:rsidRPr="001A0291">
              <w:t>• </w:t>
            </w:r>
          </w:p>
        </w:tc>
        <w:tc>
          <w:tcPr>
            <w:tcW w:w="6000" w:type="dxa"/>
            <w:tcBorders>
              <w:top w:val="nil"/>
              <w:left w:val="nil"/>
              <w:bottom w:val="nil"/>
              <w:right w:val="nil"/>
            </w:tcBorders>
            <w:hideMark/>
          </w:tcPr>
          <w:p w14:paraId="20607887" w14:textId="77777777" w:rsidR="001A0291" w:rsidRPr="001A0291" w:rsidRDefault="001A0291" w:rsidP="001A0291">
            <w:r w:rsidRPr="001A0291">
              <w:t>United Nations Convention on the Rights of the Child 1991 </w:t>
            </w:r>
          </w:p>
        </w:tc>
      </w:tr>
      <w:tr w:rsidR="001A0291" w:rsidRPr="001A0291" w14:paraId="0D6DB8F5" w14:textId="77777777" w:rsidTr="00597F98">
        <w:trPr>
          <w:trHeight w:val="255"/>
        </w:trPr>
        <w:tc>
          <w:tcPr>
            <w:tcW w:w="1110" w:type="dxa"/>
            <w:tcBorders>
              <w:top w:val="nil"/>
              <w:left w:val="nil"/>
              <w:bottom w:val="nil"/>
              <w:right w:val="nil"/>
            </w:tcBorders>
            <w:hideMark/>
          </w:tcPr>
          <w:p w14:paraId="0A72F7EF" w14:textId="77777777" w:rsidR="001A0291" w:rsidRPr="001A0291" w:rsidRDefault="001A0291" w:rsidP="001A0291">
            <w:r w:rsidRPr="001A0291">
              <w:t>• </w:t>
            </w:r>
          </w:p>
        </w:tc>
        <w:tc>
          <w:tcPr>
            <w:tcW w:w="6000" w:type="dxa"/>
            <w:tcBorders>
              <w:top w:val="nil"/>
              <w:left w:val="nil"/>
              <w:bottom w:val="nil"/>
              <w:right w:val="nil"/>
            </w:tcBorders>
            <w:hideMark/>
          </w:tcPr>
          <w:p w14:paraId="779E4298" w14:textId="77777777" w:rsidR="001A0291" w:rsidRPr="001A0291" w:rsidRDefault="001A0291" w:rsidP="001A0291">
            <w:r w:rsidRPr="001A0291">
              <w:t>Human Rights Act 1998 </w:t>
            </w:r>
          </w:p>
        </w:tc>
      </w:tr>
      <w:tr w:rsidR="001A0291" w:rsidRPr="001A0291" w14:paraId="3C4FCF94" w14:textId="77777777" w:rsidTr="00597F98">
        <w:trPr>
          <w:trHeight w:val="255"/>
        </w:trPr>
        <w:tc>
          <w:tcPr>
            <w:tcW w:w="1110" w:type="dxa"/>
            <w:tcBorders>
              <w:top w:val="nil"/>
              <w:left w:val="nil"/>
              <w:bottom w:val="nil"/>
              <w:right w:val="nil"/>
            </w:tcBorders>
            <w:hideMark/>
          </w:tcPr>
          <w:p w14:paraId="455D4CAB" w14:textId="77777777" w:rsidR="001A0291" w:rsidRPr="001A0291" w:rsidRDefault="001A0291" w:rsidP="001A0291">
            <w:r w:rsidRPr="001A0291">
              <w:t>• </w:t>
            </w:r>
          </w:p>
        </w:tc>
        <w:tc>
          <w:tcPr>
            <w:tcW w:w="6000" w:type="dxa"/>
            <w:tcBorders>
              <w:top w:val="nil"/>
              <w:left w:val="nil"/>
              <w:bottom w:val="nil"/>
              <w:right w:val="nil"/>
            </w:tcBorders>
            <w:hideMark/>
          </w:tcPr>
          <w:p w14:paraId="275328C5" w14:textId="77777777" w:rsidR="001A0291" w:rsidRPr="001A0291" w:rsidRDefault="001A0291" w:rsidP="001A0291">
            <w:r w:rsidRPr="001A0291">
              <w:t>Sexual Offences Act 2003 </w:t>
            </w:r>
          </w:p>
        </w:tc>
      </w:tr>
      <w:tr w:rsidR="001A0291" w:rsidRPr="001A0291" w14:paraId="72726026" w14:textId="77777777" w:rsidTr="00597F98">
        <w:trPr>
          <w:trHeight w:val="255"/>
        </w:trPr>
        <w:tc>
          <w:tcPr>
            <w:tcW w:w="1110" w:type="dxa"/>
            <w:tcBorders>
              <w:top w:val="nil"/>
              <w:left w:val="nil"/>
              <w:bottom w:val="nil"/>
              <w:right w:val="nil"/>
            </w:tcBorders>
            <w:hideMark/>
          </w:tcPr>
          <w:p w14:paraId="5CDB3B94" w14:textId="77777777" w:rsidR="001A0291" w:rsidRPr="001A0291" w:rsidRDefault="001A0291" w:rsidP="001A0291">
            <w:r w:rsidRPr="001A0291">
              <w:t>• </w:t>
            </w:r>
          </w:p>
        </w:tc>
        <w:tc>
          <w:tcPr>
            <w:tcW w:w="6000" w:type="dxa"/>
            <w:tcBorders>
              <w:top w:val="nil"/>
              <w:left w:val="nil"/>
              <w:bottom w:val="nil"/>
              <w:right w:val="nil"/>
            </w:tcBorders>
            <w:hideMark/>
          </w:tcPr>
          <w:p w14:paraId="61897C4C" w14:textId="77777777" w:rsidR="001A0291" w:rsidRPr="001A0291" w:rsidRDefault="001A0291" w:rsidP="001A0291">
            <w:r w:rsidRPr="001A0291">
              <w:t>Children Act 2004 </w:t>
            </w:r>
          </w:p>
        </w:tc>
      </w:tr>
      <w:tr w:rsidR="001A0291" w:rsidRPr="001A0291" w14:paraId="30E95028" w14:textId="77777777" w:rsidTr="00597F98">
        <w:trPr>
          <w:trHeight w:val="255"/>
        </w:trPr>
        <w:tc>
          <w:tcPr>
            <w:tcW w:w="1110" w:type="dxa"/>
            <w:tcBorders>
              <w:top w:val="nil"/>
              <w:left w:val="nil"/>
              <w:bottom w:val="nil"/>
              <w:right w:val="nil"/>
            </w:tcBorders>
            <w:hideMark/>
          </w:tcPr>
          <w:p w14:paraId="28DF8B44" w14:textId="77777777" w:rsidR="001A0291" w:rsidRPr="001A0291" w:rsidRDefault="001A0291" w:rsidP="001A0291">
            <w:r w:rsidRPr="001A0291">
              <w:t>• </w:t>
            </w:r>
          </w:p>
        </w:tc>
        <w:tc>
          <w:tcPr>
            <w:tcW w:w="6000" w:type="dxa"/>
            <w:tcBorders>
              <w:top w:val="nil"/>
              <w:left w:val="nil"/>
              <w:bottom w:val="nil"/>
              <w:right w:val="nil"/>
            </w:tcBorders>
            <w:hideMark/>
          </w:tcPr>
          <w:p w14:paraId="22EE741D" w14:textId="77777777" w:rsidR="001A0291" w:rsidRPr="001A0291" w:rsidRDefault="001A0291" w:rsidP="001A0291">
            <w:r w:rsidRPr="001A0291">
              <w:t>Safeguarding Vulnerable Groups Act 2006 </w:t>
            </w:r>
          </w:p>
        </w:tc>
      </w:tr>
      <w:tr w:rsidR="001A0291" w:rsidRPr="001A0291" w14:paraId="3598EAA6" w14:textId="77777777" w:rsidTr="00597F98">
        <w:trPr>
          <w:trHeight w:val="255"/>
        </w:trPr>
        <w:tc>
          <w:tcPr>
            <w:tcW w:w="1110" w:type="dxa"/>
            <w:tcBorders>
              <w:top w:val="nil"/>
              <w:left w:val="nil"/>
              <w:bottom w:val="nil"/>
              <w:right w:val="nil"/>
            </w:tcBorders>
            <w:hideMark/>
          </w:tcPr>
          <w:p w14:paraId="01B4DD49" w14:textId="77777777" w:rsidR="001A0291" w:rsidRPr="001A0291" w:rsidRDefault="001A0291" w:rsidP="001A0291">
            <w:r w:rsidRPr="001A0291">
              <w:t>• </w:t>
            </w:r>
          </w:p>
        </w:tc>
        <w:tc>
          <w:tcPr>
            <w:tcW w:w="6000" w:type="dxa"/>
            <w:tcBorders>
              <w:top w:val="nil"/>
              <w:left w:val="nil"/>
              <w:bottom w:val="nil"/>
              <w:right w:val="nil"/>
            </w:tcBorders>
            <w:hideMark/>
          </w:tcPr>
          <w:p w14:paraId="1299E954" w14:textId="77777777" w:rsidR="001A0291" w:rsidRPr="001A0291" w:rsidRDefault="001A0291" w:rsidP="001A0291">
            <w:r w:rsidRPr="001A0291">
              <w:t>Protection of Freedoms Act 2012 </w:t>
            </w:r>
          </w:p>
        </w:tc>
      </w:tr>
      <w:tr w:rsidR="001A0291" w:rsidRPr="001A0291" w14:paraId="3F61273C" w14:textId="77777777" w:rsidTr="00597F98">
        <w:trPr>
          <w:trHeight w:val="255"/>
        </w:trPr>
        <w:tc>
          <w:tcPr>
            <w:tcW w:w="1110" w:type="dxa"/>
            <w:tcBorders>
              <w:top w:val="nil"/>
              <w:left w:val="nil"/>
              <w:bottom w:val="nil"/>
              <w:right w:val="nil"/>
            </w:tcBorders>
            <w:hideMark/>
          </w:tcPr>
          <w:p w14:paraId="466EB673" w14:textId="77777777" w:rsidR="001A0291" w:rsidRPr="001A0291" w:rsidRDefault="001A0291" w:rsidP="001A0291">
            <w:r w:rsidRPr="001A0291">
              <w:t>• </w:t>
            </w:r>
          </w:p>
        </w:tc>
        <w:tc>
          <w:tcPr>
            <w:tcW w:w="6000" w:type="dxa"/>
            <w:tcBorders>
              <w:top w:val="nil"/>
              <w:left w:val="nil"/>
              <w:bottom w:val="nil"/>
              <w:right w:val="nil"/>
            </w:tcBorders>
            <w:hideMark/>
          </w:tcPr>
          <w:p w14:paraId="205A32F2" w14:textId="77777777" w:rsidR="001A0291" w:rsidRPr="001A0291" w:rsidRDefault="001A0291" w:rsidP="001A0291">
            <w:r w:rsidRPr="001A0291">
              <w:t>Children and Families Act 2014 </w:t>
            </w:r>
          </w:p>
        </w:tc>
      </w:tr>
      <w:tr w:rsidR="001A0291" w:rsidRPr="001A0291" w14:paraId="2BD5725F" w14:textId="77777777" w:rsidTr="00597F98">
        <w:trPr>
          <w:trHeight w:val="225"/>
        </w:trPr>
        <w:tc>
          <w:tcPr>
            <w:tcW w:w="1110" w:type="dxa"/>
            <w:tcBorders>
              <w:top w:val="nil"/>
              <w:left w:val="nil"/>
              <w:bottom w:val="nil"/>
              <w:right w:val="nil"/>
            </w:tcBorders>
            <w:hideMark/>
          </w:tcPr>
          <w:p w14:paraId="0D2B00EA" w14:textId="77777777" w:rsidR="001A0291" w:rsidRPr="001A0291" w:rsidRDefault="001A0291" w:rsidP="001A0291">
            <w:r w:rsidRPr="001A0291">
              <w:t>• </w:t>
            </w:r>
          </w:p>
        </w:tc>
        <w:tc>
          <w:tcPr>
            <w:tcW w:w="6000" w:type="dxa"/>
            <w:tcBorders>
              <w:top w:val="nil"/>
              <w:left w:val="nil"/>
              <w:bottom w:val="nil"/>
              <w:right w:val="nil"/>
            </w:tcBorders>
            <w:hideMark/>
          </w:tcPr>
          <w:p w14:paraId="45CEDBDC" w14:textId="77777777" w:rsidR="001A0291" w:rsidRPr="001A0291" w:rsidRDefault="001A0291" w:rsidP="001A0291">
            <w:r w:rsidRPr="001A0291">
              <w:t>General Data Protection Regulation 2018 </w:t>
            </w:r>
          </w:p>
        </w:tc>
      </w:tr>
    </w:tbl>
    <w:p w14:paraId="36916C1F" w14:textId="77777777" w:rsidR="001A0291" w:rsidRPr="001A0291" w:rsidRDefault="001A0291" w:rsidP="001A0291">
      <w:r w:rsidRPr="001A0291">
        <w:t> </w:t>
      </w:r>
    </w:p>
    <w:p w14:paraId="03EDB14A" w14:textId="77777777" w:rsidR="001A0291" w:rsidRPr="001A0291" w:rsidRDefault="001A0291" w:rsidP="001A0291">
      <w:r w:rsidRPr="001A0291">
        <w:t>This Policy and Nantwich Youth and Community Centre procedures have been produced with </w:t>
      </w:r>
      <w:proofErr w:type="gramStart"/>
      <w:r w:rsidRPr="001A0291">
        <w:t>particular regard</w:t>
      </w:r>
      <w:proofErr w:type="gramEnd"/>
      <w:r w:rsidRPr="001A0291">
        <w:t> to the ‘Working Together to Safeguard Children’ March 2026 legislation, the 2014 Safe Network, Standards guidance and the 2022 Keeping Children Safe in Education document. This policy and   accompanying procedures </w:t>
      </w:r>
      <w:proofErr w:type="gramStart"/>
      <w:r w:rsidRPr="001A0291">
        <w:t>take into account</w:t>
      </w:r>
      <w:proofErr w:type="gramEnd"/>
      <w:r w:rsidRPr="001A0291">
        <w:t> the club’s responsibilities under the July 2015 Prevent Duty and the October 2015 Female Genital Mutilation (FGM) legislation. Finally, throughout, relevant policies and procedures have been informed and shaped by the very latest in best practice provided by the NSPCC (2017) as well as guidance from the National Youth Agency. </w:t>
      </w:r>
    </w:p>
    <w:p w14:paraId="50B7170F" w14:textId="77777777" w:rsidR="001A0291" w:rsidRPr="001A0291" w:rsidRDefault="001A0291" w:rsidP="001A0291">
      <w:r w:rsidRPr="001A0291">
        <w:t> </w:t>
      </w:r>
    </w:p>
    <w:p w14:paraId="1AFC769D" w14:textId="77777777" w:rsidR="001A0291" w:rsidRPr="001A0291" w:rsidRDefault="001A0291" w:rsidP="001A0291">
      <w:r w:rsidRPr="001A0291">
        <w:t> </w:t>
      </w:r>
    </w:p>
    <w:p w14:paraId="625F288B" w14:textId="77777777" w:rsidR="001A0291" w:rsidRPr="001A0291" w:rsidRDefault="001A0291" w:rsidP="001A0291">
      <w:r w:rsidRPr="001A0291">
        <w:t>Safeguarding and Risk Management Hub. This policy should be read alongside other relevant club policies. </w:t>
      </w:r>
    </w:p>
    <w:p w14:paraId="2891E604" w14:textId="77777777" w:rsidR="00DB57E8" w:rsidRPr="00DB57E8" w:rsidRDefault="001A0291" w:rsidP="00DB57E8">
      <w:pPr>
        <w:pStyle w:val="Heading2"/>
        <w:rPr>
          <w:b/>
          <w:bCs/>
        </w:rPr>
      </w:pPr>
      <w:r w:rsidRPr="001A0291">
        <w:t> </w:t>
      </w:r>
      <w:r w:rsidR="00DB57E8">
        <w:br/>
      </w:r>
      <w:bookmarkStart w:id="4" w:name="_Toc228899486"/>
      <w:r w:rsidR="00DB57E8" w:rsidRPr="00DB57E8">
        <w:rPr>
          <w:b/>
          <w:bCs/>
        </w:rPr>
        <w:t>5. Safeguarding Principles</w:t>
      </w:r>
      <w:bookmarkEnd w:id="4"/>
    </w:p>
    <w:p w14:paraId="77A34F95" w14:textId="0031DE3B" w:rsidR="001A0291" w:rsidRPr="001A0291" w:rsidRDefault="001A0291" w:rsidP="001A0291"/>
    <w:p w14:paraId="4F310755" w14:textId="77777777" w:rsidR="001A0291" w:rsidRDefault="001A0291" w:rsidP="001A0291">
      <w:r w:rsidRPr="001A0291">
        <w:t>Nantwich Youth and Community Centre </w:t>
      </w:r>
      <w:proofErr w:type="gramStart"/>
      <w:r w:rsidRPr="001A0291">
        <w:t>encourages</w:t>
      </w:r>
      <w:proofErr w:type="gramEnd"/>
      <w:r w:rsidRPr="001A0291">
        <w:t> a culture of listening where young people and vulnerable adults can engage in dialogue with any staff member/adult volunteer and where their disclosures are believed and acted upon immediately. Throughout Nantwich Youth and Community Centre we have a fundamental belief that the views and wishes of children, young people, and vulnerable adults are sought in ways that are appropriate to their age and understanding. </w:t>
      </w:r>
    </w:p>
    <w:p w14:paraId="68D502D5" w14:textId="77777777" w:rsidR="00A458AB" w:rsidRDefault="00A458AB" w:rsidP="001A0291"/>
    <w:p w14:paraId="0B15E6DB" w14:textId="77777777" w:rsidR="00A458AB" w:rsidRPr="00A458AB" w:rsidRDefault="00A458AB" w:rsidP="00A458AB">
      <w:r w:rsidRPr="00A458AB">
        <w:t>“The Equality Act 2010 puts a responsibility on public authorities to have due regards to the need to eliminate discrimination and promote equality of opportunity. </w:t>
      </w:r>
      <w:r w:rsidRPr="00A458AB">
        <w:rPr>
          <w:b/>
          <w:bCs/>
        </w:rPr>
        <w:t xml:space="preserve">This applies to the </w:t>
      </w:r>
      <w:r w:rsidRPr="00A458AB">
        <w:rPr>
          <w:b/>
          <w:bCs/>
        </w:rPr>
        <w:lastRenderedPageBreak/>
        <w:t>process of</w:t>
      </w:r>
      <w:r w:rsidRPr="00A458AB">
        <w:t> </w:t>
      </w:r>
      <w:r w:rsidRPr="00A458AB">
        <w:rPr>
          <w:b/>
          <w:bCs/>
        </w:rPr>
        <w:t>identification of need and risk faced by the individual child and the process of assessment.</w:t>
      </w:r>
      <w:r w:rsidRPr="00A458AB">
        <w:t> </w:t>
      </w:r>
    </w:p>
    <w:p w14:paraId="62461069" w14:textId="77777777" w:rsidR="00A458AB" w:rsidRPr="00A458AB" w:rsidRDefault="00A458AB" w:rsidP="00A458AB">
      <w:r w:rsidRPr="00A458AB">
        <w:t>No child or group of children must be treated any less </w:t>
      </w:r>
      <w:proofErr w:type="spellStart"/>
      <w:r w:rsidRPr="00A458AB">
        <w:t>favorably</w:t>
      </w:r>
      <w:proofErr w:type="spellEnd"/>
      <w:r w:rsidRPr="00A458AB">
        <w:t> than others in being able to access effective services which meet their </w:t>
      </w:r>
      <w:proofErr w:type="gramStart"/>
      <w:r w:rsidRPr="00A458AB">
        <w:t>particular needs</w:t>
      </w:r>
      <w:proofErr w:type="gramEnd"/>
      <w:r w:rsidRPr="00A458AB">
        <w:t>.” </w:t>
      </w:r>
    </w:p>
    <w:p w14:paraId="34F07678" w14:textId="77777777" w:rsidR="00A458AB" w:rsidRPr="00A458AB" w:rsidRDefault="00A458AB" w:rsidP="00A458AB">
      <w:r w:rsidRPr="00A458AB">
        <w:t>In practice this means that </w:t>
      </w:r>
      <w:r w:rsidRPr="00A458AB">
        <w:rPr>
          <w:b/>
          <w:bCs/>
        </w:rPr>
        <w:t>ALL </w:t>
      </w:r>
      <w:r w:rsidRPr="00A458AB">
        <w:t>children, young people, and vulnerable adults, irrespective of age, disability, gender reassignment, marriage and civil partnership, pregnancy and maternity, race, religion or belief, sex or sexual orientation, have a fundamental and universal right to be safe and   not discriminated against through the decisions made regarding safeguarding and child protection. </w:t>
      </w:r>
    </w:p>
    <w:p w14:paraId="07FDA9C5" w14:textId="77777777" w:rsidR="00A458AB" w:rsidRPr="00A458AB" w:rsidRDefault="00A458AB" w:rsidP="00A458AB">
      <w:r w:rsidRPr="00A458AB">
        <w:t>The purpose of this Safeguarding Policy is to ensure, </w:t>
      </w:r>
      <w:proofErr w:type="gramStart"/>
      <w:r w:rsidRPr="00A458AB">
        <w:t>at all times</w:t>
      </w:r>
      <w:proofErr w:type="gramEnd"/>
      <w:r w:rsidRPr="00A458AB">
        <w:t>, the maximum protection </w:t>
      </w:r>
      <w:proofErr w:type="gramStart"/>
      <w:r w:rsidRPr="00A458AB">
        <w:t>from  any</w:t>
      </w:r>
      <w:proofErr w:type="gramEnd"/>
      <w:r w:rsidRPr="00A458AB">
        <w:t> kind of harm for all young people and vulnerable adults involved in any way with Nantwich Youth and Community Centre. For the purposes of this policy, Nantwich Youth and Community Centre Youth Club has defined harm as: </w:t>
      </w:r>
    </w:p>
    <w:p w14:paraId="2966ABAE" w14:textId="77777777" w:rsidR="00A458AB" w:rsidRPr="00A458AB" w:rsidRDefault="00A458AB" w:rsidP="00A458AB">
      <w:r w:rsidRPr="00A458AB">
        <w:t> </w:t>
      </w:r>
    </w:p>
    <w:p w14:paraId="62D50621" w14:textId="77777777" w:rsidR="00A458AB" w:rsidRPr="00A458AB" w:rsidRDefault="00A458AB" w:rsidP="00A458AB">
      <w:r w:rsidRPr="00A458AB">
        <w:rPr>
          <w:b/>
          <w:bCs/>
        </w:rPr>
        <w:t>‘Harm’ means ill-treatment or the impairment of health or development including, for example, impairment suffered from seeing or hearing the ill-treatment of another.</w:t>
      </w:r>
      <w:r w:rsidRPr="00A458AB">
        <w:t> </w:t>
      </w:r>
    </w:p>
    <w:p w14:paraId="21590A9D" w14:textId="77777777" w:rsidR="00A458AB" w:rsidRPr="00A458AB" w:rsidRDefault="00A458AB" w:rsidP="00A458AB">
      <w:r w:rsidRPr="00A458AB">
        <w:t> </w:t>
      </w:r>
    </w:p>
    <w:p w14:paraId="6FF8EEB7" w14:textId="77777777" w:rsidR="00A458AB" w:rsidRPr="00A458AB" w:rsidRDefault="00A458AB" w:rsidP="00A458AB">
      <w:r w:rsidRPr="00A458AB">
        <w:t>The Equality Act 2010 defines discrimination as; </w:t>
      </w:r>
    </w:p>
    <w:p w14:paraId="3BEADFD6" w14:textId="77777777" w:rsidR="00A458AB" w:rsidRPr="00A458AB" w:rsidRDefault="00A458AB" w:rsidP="00A458AB">
      <w:r w:rsidRPr="00A458AB">
        <w:t>•     </w:t>
      </w:r>
      <w:r w:rsidRPr="00A458AB">
        <w:rPr>
          <w:b/>
          <w:bCs/>
        </w:rPr>
        <w:t>Direct discrimination </w:t>
      </w:r>
      <w:r w:rsidRPr="00A458AB">
        <w:t>– where someone is treated less favourably than another person because of a protected characteristic. </w:t>
      </w:r>
    </w:p>
    <w:p w14:paraId="3C99EA3C" w14:textId="77777777" w:rsidR="00A458AB" w:rsidRPr="00A458AB" w:rsidRDefault="00A458AB" w:rsidP="00A458AB">
      <w:r w:rsidRPr="00A458AB">
        <w:t>•     </w:t>
      </w:r>
      <w:r w:rsidRPr="00A458AB">
        <w:rPr>
          <w:b/>
          <w:bCs/>
        </w:rPr>
        <w:t>Associative discrimination </w:t>
      </w:r>
      <w:r w:rsidRPr="00A458AB">
        <w:t>– this is direct discrimination against someone because they are associated with another person who possesses a protected characteristic. </w:t>
      </w:r>
    </w:p>
    <w:p w14:paraId="77BBE34C" w14:textId="77777777" w:rsidR="00A458AB" w:rsidRPr="00A458AB" w:rsidRDefault="00A458AB" w:rsidP="00A458AB">
      <w:r w:rsidRPr="00A458AB">
        <w:t>•     </w:t>
      </w:r>
      <w:r w:rsidRPr="00A458AB">
        <w:rPr>
          <w:b/>
          <w:bCs/>
        </w:rPr>
        <w:t>Discrimination by perception </w:t>
      </w:r>
      <w:r w:rsidRPr="00A458AB">
        <w:t>– this is direct discrimination against someone because </w:t>
      </w:r>
    </w:p>
    <w:p w14:paraId="7E0BE333" w14:textId="77777777" w:rsidR="00A458AB" w:rsidRPr="00A458AB" w:rsidRDefault="00A458AB" w:rsidP="00A458AB">
      <w:r w:rsidRPr="00A458AB">
        <w:t>others think that they possess a particular protected characteristic. They do not necessarily have to possess the characteristic, just be perceived to. </w:t>
      </w:r>
    </w:p>
    <w:p w14:paraId="291820D4" w14:textId="77777777" w:rsidR="00A458AB" w:rsidRPr="00A458AB" w:rsidRDefault="00A458AB" w:rsidP="00A458AB">
      <w:r w:rsidRPr="00A458AB">
        <w:t>•     </w:t>
      </w:r>
      <w:r w:rsidRPr="00A458AB">
        <w:rPr>
          <w:b/>
          <w:bCs/>
        </w:rPr>
        <w:t>Indirect discrimination </w:t>
      </w:r>
      <w:r w:rsidRPr="00A458AB">
        <w:t>– this can occur when you have a rule or policy that applies to everyone but disadvantages a person with a particular protected characteristic </w:t>
      </w:r>
    </w:p>
    <w:p w14:paraId="1DB01DE3" w14:textId="77777777" w:rsidR="00A458AB" w:rsidRPr="00A458AB" w:rsidRDefault="00A458AB" w:rsidP="00A458AB">
      <w:r w:rsidRPr="00A458AB">
        <w:t>•     </w:t>
      </w:r>
      <w:r w:rsidRPr="00A458AB">
        <w:rPr>
          <w:b/>
          <w:bCs/>
        </w:rPr>
        <w:t>Harassment </w:t>
      </w:r>
      <w:r w:rsidRPr="00A458AB">
        <w:t>– this is behaviour that is deemed offensive by the recipient. Employees can now complain of the behaviour they find offensive even if it is not directed at them. </w:t>
      </w:r>
    </w:p>
    <w:p w14:paraId="08776223" w14:textId="77777777" w:rsidR="00A458AB" w:rsidRPr="00A458AB" w:rsidRDefault="00A458AB" w:rsidP="00A458AB">
      <w:r w:rsidRPr="00A458AB">
        <w:t>•     </w:t>
      </w:r>
      <w:r w:rsidRPr="00A458AB">
        <w:rPr>
          <w:b/>
          <w:bCs/>
        </w:rPr>
        <w:t>Victimisation </w:t>
      </w:r>
      <w:r w:rsidRPr="00A458AB">
        <w:t>– this occurs when someone is treated badly because they have made or supported a complaint or grievance under this legislation. </w:t>
      </w:r>
    </w:p>
    <w:p w14:paraId="66FC95EE" w14:textId="77777777" w:rsidR="00A458AB" w:rsidRPr="00A458AB" w:rsidRDefault="00A458AB" w:rsidP="00A458AB">
      <w:proofErr w:type="gramStart"/>
      <w:r w:rsidRPr="00A458AB">
        <w:t>In order to</w:t>
      </w:r>
      <w:proofErr w:type="gramEnd"/>
      <w:r w:rsidRPr="00A458AB">
        <w:t> escalate a (series of) concern(s) to a Section 47 child protection referral to the local </w:t>
      </w:r>
    </w:p>
    <w:p w14:paraId="0310B4AA" w14:textId="77777777" w:rsidR="00A458AB" w:rsidRPr="00A458AB" w:rsidRDefault="00A458AB" w:rsidP="00A458AB">
      <w:r w:rsidRPr="00A458AB">
        <w:t>Authority should be made where there is reasonable cause to suspect a child is suffering, or is likely to suffer, significant harm. It is important to remember that often, only when information held by </w:t>
      </w:r>
      <w:proofErr w:type="gramStart"/>
      <w:r w:rsidRPr="00A458AB">
        <w:t>a number of</w:t>
      </w:r>
      <w:proofErr w:type="gramEnd"/>
      <w:r w:rsidRPr="00A458AB">
        <w:t> professionals and agencies is put together, that a picture of child abuse emerges. </w:t>
      </w:r>
    </w:p>
    <w:p w14:paraId="32EF9222" w14:textId="77777777" w:rsidR="00A458AB" w:rsidRPr="00A458AB" w:rsidRDefault="00A458AB" w:rsidP="00A458AB">
      <w:r w:rsidRPr="00A458AB">
        <w:t>Please note that evidencing significant harm is often a challenge and there are no absolute criteria on which to rely when judging what constitutes significant harm. Useful guidance for the consideration of what constitutes to significant harm can be found in “Cheshire East Safeguarding Children Partnership procedures.” </w:t>
      </w:r>
    </w:p>
    <w:p w14:paraId="2BC5FAEC" w14:textId="77777777" w:rsidR="00A458AB" w:rsidRPr="00A458AB" w:rsidRDefault="00A458AB" w:rsidP="00A458AB">
      <w:r w:rsidRPr="00A458AB">
        <w:t>; </w:t>
      </w:r>
    </w:p>
    <w:p w14:paraId="6537EEAC" w14:textId="77777777" w:rsidR="00A458AB" w:rsidRPr="00A458AB" w:rsidRDefault="00A458AB" w:rsidP="00A458AB">
      <w:r w:rsidRPr="00A458AB">
        <w:lastRenderedPageBreak/>
        <w:t>-    the severity of ill-treatment </w:t>
      </w:r>
    </w:p>
    <w:p w14:paraId="2DCC2C81" w14:textId="77777777" w:rsidR="00A458AB" w:rsidRPr="00A458AB" w:rsidRDefault="00A458AB" w:rsidP="00A458AB">
      <w:r w:rsidRPr="00A458AB">
        <w:t>-    the degree and the extent of physical harm </w:t>
      </w:r>
    </w:p>
    <w:p w14:paraId="0CD4198C" w14:textId="77777777" w:rsidR="00A458AB" w:rsidRPr="00A458AB" w:rsidRDefault="00A458AB" w:rsidP="00A458AB">
      <w:r w:rsidRPr="00A458AB">
        <w:t>-    the duration and frequency of abuse and neglect </w:t>
      </w:r>
    </w:p>
    <w:p w14:paraId="3FE4CAAE" w14:textId="77777777" w:rsidR="00A458AB" w:rsidRPr="00A458AB" w:rsidRDefault="00A458AB" w:rsidP="00A458AB">
      <w:r w:rsidRPr="00A458AB">
        <w:t>-    the extent of premeditation </w:t>
      </w:r>
    </w:p>
    <w:p w14:paraId="47403F3D" w14:textId="77777777" w:rsidR="00A458AB" w:rsidRPr="00A458AB" w:rsidRDefault="00A458AB" w:rsidP="00A458AB">
      <w:r w:rsidRPr="00A458AB">
        <w:t>-    the presence or degree of threat </w:t>
      </w:r>
    </w:p>
    <w:p w14:paraId="06C6F2B0" w14:textId="77777777" w:rsidR="00A458AB" w:rsidRPr="00A458AB" w:rsidRDefault="00A458AB" w:rsidP="00A458AB">
      <w:r w:rsidRPr="00A458AB">
        <w:t>-    the level of coercion, sadism and bizarre or unusual elements </w:t>
      </w:r>
    </w:p>
    <w:p w14:paraId="1958F027" w14:textId="77777777" w:rsidR="00A458AB" w:rsidRPr="00A458AB" w:rsidRDefault="00A458AB" w:rsidP="00A458AB">
      <w:r w:rsidRPr="00A458AB">
        <w:t> </w:t>
      </w:r>
    </w:p>
    <w:p w14:paraId="3193FEE5" w14:textId="77777777" w:rsidR="00A458AB" w:rsidRPr="001A0291" w:rsidRDefault="00A458AB" w:rsidP="00AC79E8">
      <w:pPr>
        <w:pStyle w:val="Heading2"/>
      </w:pPr>
    </w:p>
    <w:p w14:paraId="546DFF8E" w14:textId="0594291D" w:rsidR="000D319A" w:rsidRPr="00074225" w:rsidRDefault="000D319A" w:rsidP="000D319A">
      <w:pPr>
        <w:rPr>
          <w:b/>
          <w:bCs/>
        </w:rPr>
        <w:sectPr w:rsidR="000D319A" w:rsidRPr="00074225">
          <w:headerReference w:type="even" r:id="rId8"/>
          <w:headerReference w:type="default" r:id="rId9"/>
          <w:footerReference w:type="even" r:id="rId10"/>
          <w:footerReference w:type="default" r:id="rId11"/>
          <w:headerReference w:type="first" r:id="rId12"/>
          <w:footerReference w:type="first" r:id="rId13"/>
          <w:pgSz w:w="11900" w:h="16841"/>
          <w:pgMar w:top="2138" w:right="1121" w:bottom="0" w:left="1132" w:header="658" w:footer="340" w:gutter="0"/>
          <w:cols w:space="720"/>
        </w:sectPr>
      </w:pPr>
      <w:r w:rsidRPr="00074225">
        <w:rPr>
          <w:b/>
          <w:bCs/>
        </w:rPr>
        <w:t>.</w:t>
      </w:r>
    </w:p>
    <w:p w14:paraId="533F96AE" w14:textId="7000832B" w:rsidR="00074225" w:rsidRPr="00074225" w:rsidRDefault="00074225" w:rsidP="00074225">
      <w:pPr>
        <w:pStyle w:val="Heading2"/>
        <w:rPr>
          <w:b/>
          <w:bCs/>
        </w:rPr>
      </w:pPr>
      <w:bookmarkStart w:id="5" w:name="_Toc228899487"/>
      <w:r>
        <w:rPr>
          <w:b/>
          <w:bCs/>
        </w:rPr>
        <w:lastRenderedPageBreak/>
        <w:t xml:space="preserve">6. Adherence to </w:t>
      </w:r>
      <w:r w:rsidRPr="00074225">
        <w:rPr>
          <w:b/>
          <w:bCs/>
        </w:rPr>
        <w:t>Equality Act 2010</w:t>
      </w:r>
      <w:bookmarkEnd w:id="5"/>
    </w:p>
    <w:p w14:paraId="79D4AED4" w14:textId="77777777" w:rsidR="00074225" w:rsidRDefault="00074225" w:rsidP="000D319A"/>
    <w:p w14:paraId="3FA5BACD" w14:textId="498476F7" w:rsidR="000D319A" w:rsidRPr="003072C8" w:rsidRDefault="000D319A" w:rsidP="000D319A">
      <w:r w:rsidRPr="003072C8">
        <w:t xml:space="preserve">“The Equality Act 2010 puts a responsibility on public authorities to have due regards to the need to eliminate discrimination and promote equality of opportunity. </w:t>
      </w:r>
      <w:r w:rsidRPr="003072C8">
        <w:rPr>
          <w:b/>
          <w:bCs/>
        </w:rPr>
        <w:t>This applies to the process of</w:t>
      </w:r>
      <w:r w:rsidRPr="003072C8">
        <w:t xml:space="preserve"> </w:t>
      </w:r>
      <w:r w:rsidRPr="003072C8">
        <w:rPr>
          <w:b/>
          <w:bCs/>
        </w:rPr>
        <w:t>identification of need and risk faced by the individual child and the process of assessment.</w:t>
      </w:r>
    </w:p>
    <w:p w14:paraId="053AF28E" w14:textId="3F5EDCE8" w:rsidR="000D319A" w:rsidRPr="003072C8" w:rsidRDefault="000D319A" w:rsidP="000D319A">
      <w:r w:rsidRPr="003072C8">
        <w:t xml:space="preserve">No child or group of children must be treated any less </w:t>
      </w:r>
      <w:r w:rsidR="00A136F9" w:rsidRPr="003072C8">
        <w:t>favourably</w:t>
      </w:r>
      <w:r w:rsidRPr="003072C8">
        <w:t xml:space="preserve"> than others in being able to access effective services which meet their </w:t>
      </w:r>
      <w:proofErr w:type="gramStart"/>
      <w:r w:rsidRPr="003072C8">
        <w:t>particular needs</w:t>
      </w:r>
      <w:proofErr w:type="gramEnd"/>
      <w:r w:rsidRPr="003072C8">
        <w:t>.”</w:t>
      </w:r>
    </w:p>
    <w:p w14:paraId="3CEA6B5B" w14:textId="789F111D" w:rsidR="000D319A" w:rsidRPr="003072C8" w:rsidRDefault="000D319A" w:rsidP="000D319A">
      <w:r w:rsidRPr="003072C8">
        <w:t xml:space="preserve">In practice this means that </w:t>
      </w:r>
      <w:r w:rsidRPr="003072C8">
        <w:rPr>
          <w:b/>
          <w:bCs/>
        </w:rPr>
        <w:t xml:space="preserve">ALL </w:t>
      </w:r>
      <w:r w:rsidRPr="003072C8">
        <w:t>children, young people, and vulnerable adults, irrespective of age, disability, gender reassignment, marriage and civil partnership, pregnancy and maternity, race, religion or belief, sex or sexual orientation, have a fundamental and universal right to be safe and not discriminated against through the decisions made regarding safeguarding and child protection.</w:t>
      </w:r>
    </w:p>
    <w:p w14:paraId="082547D2" w14:textId="0A39A8BB" w:rsidR="000D319A" w:rsidRPr="003072C8" w:rsidRDefault="000D319A" w:rsidP="000D319A">
      <w:r w:rsidRPr="003072C8">
        <w:t xml:space="preserve">The purpose of this Safeguarding Policy is to ensure, </w:t>
      </w:r>
      <w:proofErr w:type="gramStart"/>
      <w:r w:rsidRPr="003072C8">
        <w:t>at all times</w:t>
      </w:r>
      <w:proofErr w:type="gramEnd"/>
      <w:r w:rsidRPr="003072C8">
        <w:t xml:space="preserve">, the maximum protection </w:t>
      </w:r>
      <w:proofErr w:type="gramStart"/>
      <w:r w:rsidRPr="003072C8">
        <w:t>from  any</w:t>
      </w:r>
      <w:proofErr w:type="gramEnd"/>
      <w:r w:rsidRPr="003072C8">
        <w:t xml:space="preserve"> kind of harm for all young people and vulnerable adults involved in any way with Nantwich Youth and Community Centre. For the purposes of this policy, Nantwich Youth and Community Centre Youth Club has defined harm as:</w:t>
      </w:r>
    </w:p>
    <w:p w14:paraId="76EC70D2" w14:textId="04562AC9" w:rsidR="000D319A" w:rsidRPr="00CD49AB" w:rsidRDefault="00C30F76" w:rsidP="00CD49AB">
      <w:pPr>
        <w:pStyle w:val="Heading2"/>
        <w:rPr>
          <w:b/>
          <w:bCs/>
        </w:rPr>
      </w:pPr>
      <w:r>
        <w:br/>
      </w:r>
      <w:r>
        <w:br/>
      </w:r>
      <w:r w:rsidRPr="00CD49AB">
        <w:rPr>
          <w:b/>
          <w:bCs/>
        </w:rPr>
        <w:t xml:space="preserve">7. Definitions </w:t>
      </w:r>
      <w:r w:rsidR="00CD49AB">
        <w:rPr>
          <w:b/>
          <w:bCs/>
        </w:rPr>
        <w:br/>
      </w:r>
    </w:p>
    <w:p w14:paraId="1940FAE3" w14:textId="77777777" w:rsidR="000D319A" w:rsidRPr="003072C8" w:rsidRDefault="000D319A" w:rsidP="000D319A">
      <w:pPr>
        <w:rPr>
          <w:b/>
          <w:bCs/>
        </w:rPr>
      </w:pPr>
      <w:r w:rsidRPr="003072C8">
        <w:rPr>
          <w:b/>
          <w:bCs/>
        </w:rPr>
        <w:t>‘Harm’ means ill-treatment or the impairment of health or development including, for example, impairment suffered from seeing or hearing the ill-treatment of another.</w:t>
      </w:r>
    </w:p>
    <w:p w14:paraId="0EF3038F" w14:textId="77777777" w:rsidR="000D319A" w:rsidRPr="003072C8" w:rsidRDefault="000D319A" w:rsidP="000D319A"/>
    <w:p w14:paraId="6CE5A7C2" w14:textId="77777777" w:rsidR="000D319A" w:rsidRPr="003072C8" w:rsidRDefault="000D319A" w:rsidP="000D319A">
      <w:r w:rsidRPr="003072C8">
        <w:t>The Equality Act 2010 defines discrimination as;</w:t>
      </w:r>
    </w:p>
    <w:p w14:paraId="4161C0C0" w14:textId="03EC7B65" w:rsidR="000D319A" w:rsidRPr="003072C8" w:rsidRDefault="000D319A" w:rsidP="000D319A">
      <w:r w:rsidRPr="003072C8">
        <w:t xml:space="preserve">•     </w:t>
      </w:r>
      <w:r w:rsidRPr="003072C8">
        <w:rPr>
          <w:b/>
          <w:bCs/>
        </w:rPr>
        <w:t xml:space="preserve">Direct discrimination </w:t>
      </w:r>
      <w:r w:rsidRPr="003072C8">
        <w:t xml:space="preserve">– where someone is treated less </w:t>
      </w:r>
      <w:r w:rsidR="00EC2086" w:rsidRPr="003072C8">
        <w:t>favourably</w:t>
      </w:r>
      <w:r w:rsidRPr="003072C8">
        <w:t xml:space="preserve"> than another person because of a protected characteristic.</w:t>
      </w:r>
    </w:p>
    <w:p w14:paraId="5E2C6894" w14:textId="77777777" w:rsidR="000D319A" w:rsidRPr="003072C8" w:rsidRDefault="000D319A" w:rsidP="000D319A">
      <w:r w:rsidRPr="003072C8">
        <w:t xml:space="preserve">•     </w:t>
      </w:r>
      <w:r w:rsidRPr="003072C8">
        <w:rPr>
          <w:b/>
          <w:bCs/>
        </w:rPr>
        <w:t xml:space="preserve">Associative discrimination </w:t>
      </w:r>
      <w:r w:rsidRPr="003072C8">
        <w:t>– this is direct discrimination against someone because they are associated with another person who possesses a protected characteristic.</w:t>
      </w:r>
    </w:p>
    <w:p w14:paraId="68B4E602" w14:textId="77777777" w:rsidR="000D319A" w:rsidRPr="003072C8" w:rsidRDefault="000D319A" w:rsidP="000D319A">
      <w:r w:rsidRPr="003072C8">
        <w:t xml:space="preserve">•     </w:t>
      </w:r>
      <w:r w:rsidRPr="003072C8">
        <w:rPr>
          <w:b/>
          <w:bCs/>
        </w:rPr>
        <w:t xml:space="preserve">Discrimination by perception </w:t>
      </w:r>
      <w:r w:rsidRPr="003072C8">
        <w:t>– this is direct discrimination against someone because</w:t>
      </w:r>
    </w:p>
    <w:p w14:paraId="7EE8B84F" w14:textId="77777777" w:rsidR="000D319A" w:rsidRPr="003072C8" w:rsidRDefault="000D319A" w:rsidP="000D319A">
      <w:r w:rsidRPr="003072C8">
        <w:t>others think that they possess a particular protected characteristic. They do not necessarily have to possess the characteristic, just be perceived to.</w:t>
      </w:r>
    </w:p>
    <w:p w14:paraId="40F3A9E2" w14:textId="77777777" w:rsidR="000D319A" w:rsidRPr="003072C8" w:rsidRDefault="000D319A" w:rsidP="000D319A">
      <w:r w:rsidRPr="003072C8">
        <w:t xml:space="preserve">•     </w:t>
      </w:r>
      <w:r w:rsidRPr="003072C8">
        <w:rPr>
          <w:b/>
          <w:bCs/>
        </w:rPr>
        <w:t xml:space="preserve">Indirect discrimination </w:t>
      </w:r>
      <w:r w:rsidRPr="003072C8">
        <w:t>– this can occur when you have a rule or policy that applies to everyone but disadvantages a person with a particular protected characteristic</w:t>
      </w:r>
    </w:p>
    <w:p w14:paraId="5EC90E41" w14:textId="77777777" w:rsidR="000D319A" w:rsidRPr="003072C8" w:rsidRDefault="000D319A" w:rsidP="000D319A">
      <w:r w:rsidRPr="003072C8">
        <w:t xml:space="preserve">•     </w:t>
      </w:r>
      <w:r w:rsidRPr="003072C8">
        <w:rPr>
          <w:b/>
          <w:bCs/>
        </w:rPr>
        <w:t xml:space="preserve">Harassment </w:t>
      </w:r>
      <w:r w:rsidRPr="003072C8">
        <w:t>– this is behaviour that is deemed offensive by the recipient. Employees can now complain of the behaviour they find offensive even if it is not directed at them.</w:t>
      </w:r>
    </w:p>
    <w:p w14:paraId="6234B492" w14:textId="77777777" w:rsidR="000D319A" w:rsidRPr="003072C8" w:rsidRDefault="000D319A" w:rsidP="000D319A">
      <w:r w:rsidRPr="003072C8">
        <w:t xml:space="preserve">•     </w:t>
      </w:r>
      <w:r w:rsidRPr="003072C8">
        <w:rPr>
          <w:b/>
          <w:bCs/>
        </w:rPr>
        <w:t xml:space="preserve">Victimisation </w:t>
      </w:r>
      <w:r w:rsidRPr="003072C8">
        <w:t>– this occurs when someone is treated badly because they have made or supported a complaint or grievance under this legislation.</w:t>
      </w:r>
    </w:p>
    <w:p w14:paraId="1B002087" w14:textId="77777777" w:rsidR="000D319A" w:rsidRPr="003072C8" w:rsidRDefault="000D319A" w:rsidP="000D319A">
      <w:proofErr w:type="gramStart"/>
      <w:r w:rsidRPr="003072C8">
        <w:t>In order to</w:t>
      </w:r>
      <w:proofErr w:type="gramEnd"/>
      <w:r w:rsidRPr="003072C8">
        <w:t xml:space="preserve"> escalate a (series of) concern(s) to a Section 47 child protection referral to the local</w:t>
      </w:r>
    </w:p>
    <w:p w14:paraId="6EECAC90" w14:textId="30BD0972" w:rsidR="000D319A" w:rsidRPr="003072C8" w:rsidRDefault="00907CD0" w:rsidP="000D319A">
      <w:r w:rsidRPr="003072C8">
        <w:lastRenderedPageBreak/>
        <w:t>A</w:t>
      </w:r>
      <w:r w:rsidR="000D319A" w:rsidRPr="003072C8">
        <w:t>uthority</w:t>
      </w:r>
      <w:r>
        <w:t xml:space="preserve"> should be made</w:t>
      </w:r>
      <w:r w:rsidR="00677C1E">
        <w:t xml:space="preserve"> where there is reasonable cause to suspect a child is suffering, or is likely to suffer, significant harm</w:t>
      </w:r>
      <w:r w:rsidR="000D319A" w:rsidRPr="003072C8">
        <w:t xml:space="preserve">. It is important to remember that often, only when information held by </w:t>
      </w:r>
      <w:proofErr w:type="gramStart"/>
      <w:r w:rsidR="000D319A" w:rsidRPr="003072C8">
        <w:t>a number of</w:t>
      </w:r>
      <w:proofErr w:type="gramEnd"/>
      <w:r w:rsidR="000D319A" w:rsidRPr="003072C8">
        <w:t xml:space="preserve"> professionals and agencies is put together, that a picture of child abuse emerges.</w:t>
      </w:r>
    </w:p>
    <w:p w14:paraId="49BD7703" w14:textId="550591DB" w:rsidR="00B649F8" w:rsidRDefault="000D319A" w:rsidP="00B649F8">
      <w:r w:rsidRPr="003072C8">
        <w:t xml:space="preserve">Please note that evidencing significant harm is often a challenge and there are no absolute criteria on which to rely when judging what constitutes significant harm. Useful guidance for the consideration of what constitutes to significant harm can be found in </w:t>
      </w:r>
      <w:r w:rsidR="007A13C5">
        <w:t>“</w:t>
      </w:r>
      <w:r w:rsidR="00B649F8">
        <w:t>Cheshire East Safeguarding Children Partnership procedures.”</w:t>
      </w:r>
    </w:p>
    <w:p w14:paraId="2E4F6D61" w14:textId="048B7BA5" w:rsidR="000D319A" w:rsidRPr="003072C8" w:rsidRDefault="000D319A" w:rsidP="000D319A">
      <w:r w:rsidRPr="003072C8">
        <w:t>;</w:t>
      </w:r>
    </w:p>
    <w:p w14:paraId="3823F123" w14:textId="77777777" w:rsidR="000D319A" w:rsidRPr="003072C8" w:rsidRDefault="000D319A" w:rsidP="000D319A">
      <w:r w:rsidRPr="003072C8">
        <w:t>-    the severity of ill-treatment</w:t>
      </w:r>
    </w:p>
    <w:p w14:paraId="55E6AFD1" w14:textId="77777777" w:rsidR="000D319A" w:rsidRPr="003072C8" w:rsidRDefault="000D319A" w:rsidP="000D319A">
      <w:r w:rsidRPr="003072C8">
        <w:t>-    the degree and the extent of physical harm</w:t>
      </w:r>
    </w:p>
    <w:p w14:paraId="0DF3D88B" w14:textId="77777777" w:rsidR="000D319A" w:rsidRPr="003072C8" w:rsidRDefault="000D319A" w:rsidP="000D319A">
      <w:r w:rsidRPr="003072C8">
        <w:t>-    the duration and frequency of abuse and neglect</w:t>
      </w:r>
    </w:p>
    <w:p w14:paraId="5EC70A63" w14:textId="77777777" w:rsidR="000D319A" w:rsidRPr="003072C8" w:rsidRDefault="000D319A" w:rsidP="000D319A">
      <w:r w:rsidRPr="003072C8">
        <w:t>-    the extent of premeditation</w:t>
      </w:r>
    </w:p>
    <w:p w14:paraId="14E65328" w14:textId="77777777" w:rsidR="000D319A" w:rsidRPr="003072C8" w:rsidRDefault="000D319A" w:rsidP="000D319A">
      <w:r w:rsidRPr="003072C8">
        <w:t>-    the presence or degree of threat</w:t>
      </w:r>
    </w:p>
    <w:p w14:paraId="6310DB2E" w14:textId="77777777" w:rsidR="000D319A" w:rsidRPr="003072C8" w:rsidRDefault="000D319A" w:rsidP="000D319A">
      <w:r w:rsidRPr="003072C8">
        <w:t>-    the level of coercion, sadism and bizarre or unusual elements</w:t>
      </w:r>
    </w:p>
    <w:p w14:paraId="18B54FA7" w14:textId="77777777" w:rsidR="000D319A" w:rsidRPr="003072C8" w:rsidRDefault="000D319A" w:rsidP="000D319A">
      <w:pPr>
        <w:sectPr w:rsidR="000D319A" w:rsidRPr="003072C8">
          <w:headerReference w:type="default" r:id="rId14"/>
          <w:pgSz w:w="11900" w:h="16841"/>
          <w:pgMar w:top="2138" w:right="1121" w:bottom="0" w:left="1105" w:header="658" w:footer="0" w:gutter="0"/>
          <w:cols w:space="720"/>
        </w:sectPr>
      </w:pPr>
    </w:p>
    <w:p w14:paraId="7EBD6845" w14:textId="6AB85FD6" w:rsidR="000D319A" w:rsidRPr="003072C8" w:rsidRDefault="00074225" w:rsidP="000D319A">
      <w:bookmarkStart w:id="6" w:name="_Toc228899488"/>
      <w:r w:rsidRPr="00074225">
        <w:rPr>
          <w:rStyle w:val="Heading2Char"/>
          <w:b/>
          <w:bCs/>
        </w:rPr>
        <w:lastRenderedPageBreak/>
        <w:t>8. Themes for Safeguarding</w:t>
      </w:r>
      <w:bookmarkEnd w:id="6"/>
      <w:r>
        <w:br/>
      </w:r>
      <w:r>
        <w:br/>
      </w:r>
      <w:r w:rsidR="000D319A" w:rsidRPr="003072C8">
        <w:t>Within the Keeping Children Safe in Education 2018 document, and the later 2022 version, the follow specific safeguarding themes are identified. These include;</w:t>
      </w:r>
    </w:p>
    <w:p w14:paraId="43561E85" w14:textId="77777777" w:rsidR="000D319A" w:rsidRPr="003072C8" w:rsidRDefault="000D319A" w:rsidP="000D319A"/>
    <w:tbl>
      <w:tblPr>
        <w:tblStyle w:val="TableNormal1"/>
        <w:tblW w:w="96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3"/>
        <w:gridCol w:w="4815"/>
      </w:tblGrid>
      <w:tr w:rsidR="000D319A" w:rsidRPr="003072C8" w14:paraId="3E7407D0" w14:textId="77777777" w:rsidTr="003C6EC5">
        <w:trPr>
          <w:trHeight w:val="263"/>
        </w:trPr>
        <w:tc>
          <w:tcPr>
            <w:tcW w:w="4813" w:type="dxa"/>
          </w:tcPr>
          <w:p w14:paraId="0DE4F44A" w14:textId="77777777" w:rsidR="000D319A" w:rsidRDefault="000D319A" w:rsidP="000D319A"/>
          <w:p w14:paraId="59DDAD1B" w14:textId="11FFE6E5" w:rsidR="00092122" w:rsidRPr="003072C8" w:rsidRDefault="00092122" w:rsidP="000D319A"/>
        </w:tc>
        <w:tc>
          <w:tcPr>
            <w:tcW w:w="4815" w:type="dxa"/>
          </w:tcPr>
          <w:p w14:paraId="2846C804" w14:textId="77777777" w:rsidR="000D319A" w:rsidRPr="003072C8" w:rsidRDefault="000D319A" w:rsidP="000D319A">
            <w:r w:rsidRPr="003072C8">
              <w:t>Hate crime</w:t>
            </w:r>
          </w:p>
        </w:tc>
      </w:tr>
      <w:tr w:rsidR="000D319A" w:rsidRPr="003072C8" w14:paraId="6D13E758" w14:textId="77777777" w:rsidTr="003C6EC5">
        <w:trPr>
          <w:trHeight w:val="256"/>
        </w:trPr>
        <w:tc>
          <w:tcPr>
            <w:tcW w:w="4813" w:type="dxa"/>
          </w:tcPr>
          <w:p w14:paraId="045C7F8C" w14:textId="77777777" w:rsidR="000D319A" w:rsidRPr="003072C8" w:rsidRDefault="000D319A" w:rsidP="000D319A">
            <w:r w:rsidRPr="003072C8">
              <w:t>Bullying including cyberbullying</w:t>
            </w:r>
          </w:p>
        </w:tc>
        <w:tc>
          <w:tcPr>
            <w:tcW w:w="4815" w:type="dxa"/>
          </w:tcPr>
          <w:p w14:paraId="6B95CE30" w14:textId="77777777" w:rsidR="000D319A" w:rsidRPr="003072C8" w:rsidRDefault="000D319A" w:rsidP="000D319A">
            <w:r w:rsidRPr="003072C8">
              <w:t>Mental Health</w:t>
            </w:r>
          </w:p>
        </w:tc>
      </w:tr>
      <w:tr w:rsidR="000D319A" w:rsidRPr="003072C8" w14:paraId="0C3D5A49" w14:textId="77777777" w:rsidTr="003C6EC5">
        <w:trPr>
          <w:trHeight w:val="259"/>
        </w:trPr>
        <w:tc>
          <w:tcPr>
            <w:tcW w:w="4813" w:type="dxa"/>
          </w:tcPr>
          <w:p w14:paraId="2F9F07FE" w14:textId="77777777" w:rsidR="000D319A" w:rsidRPr="003072C8" w:rsidRDefault="000D319A" w:rsidP="000D319A">
            <w:r w:rsidRPr="003072C8">
              <w:t>Child missing from home or care</w:t>
            </w:r>
          </w:p>
        </w:tc>
        <w:tc>
          <w:tcPr>
            <w:tcW w:w="4815" w:type="dxa"/>
          </w:tcPr>
          <w:p w14:paraId="030259D8" w14:textId="77777777" w:rsidR="000D319A" w:rsidRPr="003072C8" w:rsidRDefault="000D319A" w:rsidP="000D319A">
            <w:r w:rsidRPr="003072C8">
              <w:t>Missing children and adult strategy</w:t>
            </w:r>
          </w:p>
        </w:tc>
      </w:tr>
      <w:tr w:rsidR="000D319A" w:rsidRPr="003072C8" w14:paraId="13547862" w14:textId="77777777" w:rsidTr="003C6EC5">
        <w:trPr>
          <w:trHeight w:val="256"/>
        </w:trPr>
        <w:tc>
          <w:tcPr>
            <w:tcW w:w="4813" w:type="dxa"/>
          </w:tcPr>
          <w:p w14:paraId="28BD5972" w14:textId="77777777" w:rsidR="000D319A" w:rsidRPr="003072C8" w:rsidRDefault="000D319A" w:rsidP="000D319A">
            <w:r w:rsidRPr="003072C8">
              <w:t>Child sexual exploitation (CSE)</w:t>
            </w:r>
          </w:p>
        </w:tc>
        <w:tc>
          <w:tcPr>
            <w:tcW w:w="4815" w:type="dxa"/>
          </w:tcPr>
          <w:p w14:paraId="031D3A5B" w14:textId="77777777" w:rsidR="000D319A" w:rsidRPr="003072C8" w:rsidRDefault="000D319A" w:rsidP="000D319A">
            <w:r w:rsidRPr="003072C8">
              <w:t>Physical Abuse</w:t>
            </w:r>
          </w:p>
        </w:tc>
      </w:tr>
      <w:tr w:rsidR="000D319A" w:rsidRPr="003072C8" w14:paraId="3A680975" w14:textId="77777777" w:rsidTr="003C6EC5">
        <w:trPr>
          <w:trHeight w:val="259"/>
        </w:trPr>
        <w:tc>
          <w:tcPr>
            <w:tcW w:w="4813" w:type="dxa"/>
          </w:tcPr>
          <w:p w14:paraId="2A9B1618" w14:textId="77777777" w:rsidR="000D319A" w:rsidRPr="003072C8" w:rsidRDefault="000D319A" w:rsidP="000D319A">
            <w:r w:rsidRPr="003072C8">
              <w:t>Children missing education</w:t>
            </w:r>
          </w:p>
        </w:tc>
        <w:tc>
          <w:tcPr>
            <w:tcW w:w="4815" w:type="dxa"/>
          </w:tcPr>
          <w:p w14:paraId="1AAB5852" w14:textId="77777777" w:rsidR="000D319A" w:rsidRPr="003072C8" w:rsidRDefault="000D319A" w:rsidP="000D319A">
            <w:r w:rsidRPr="003072C8">
              <w:t>Preventing radicalisation</w:t>
            </w:r>
          </w:p>
        </w:tc>
      </w:tr>
      <w:tr w:rsidR="000D319A" w:rsidRPr="003072C8" w14:paraId="41B324A4" w14:textId="77777777" w:rsidTr="003C6EC5">
        <w:trPr>
          <w:trHeight w:val="259"/>
        </w:trPr>
        <w:tc>
          <w:tcPr>
            <w:tcW w:w="4813" w:type="dxa"/>
          </w:tcPr>
          <w:p w14:paraId="443FB086" w14:textId="77777777" w:rsidR="000D319A" w:rsidRPr="003072C8" w:rsidRDefault="000D319A" w:rsidP="000D319A">
            <w:r w:rsidRPr="003072C8">
              <w:t>Domestic violence</w:t>
            </w:r>
          </w:p>
        </w:tc>
        <w:tc>
          <w:tcPr>
            <w:tcW w:w="4815" w:type="dxa"/>
          </w:tcPr>
          <w:p w14:paraId="5A63CCC2" w14:textId="77777777" w:rsidR="000D319A" w:rsidRPr="003072C8" w:rsidRDefault="000D319A" w:rsidP="000D319A">
            <w:r w:rsidRPr="003072C8">
              <w:t>Private fostering</w:t>
            </w:r>
          </w:p>
        </w:tc>
      </w:tr>
      <w:tr w:rsidR="000D319A" w:rsidRPr="003072C8" w14:paraId="029D19D5" w14:textId="77777777" w:rsidTr="003C6EC5">
        <w:trPr>
          <w:trHeight w:val="256"/>
        </w:trPr>
        <w:tc>
          <w:tcPr>
            <w:tcW w:w="4813" w:type="dxa"/>
          </w:tcPr>
          <w:p w14:paraId="10916C37" w14:textId="77777777" w:rsidR="000D319A" w:rsidRPr="003072C8" w:rsidRDefault="000D319A" w:rsidP="000D319A">
            <w:r w:rsidRPr="003072C8">
              <w:t>Drugs (inc. County Lines)</w:t>
            </w:r>
          </w:p>
        </w:tc>
        <w:tc>
          <w:tcPr>
            <w:tcW w:w="4815" w:type="dxa"/>
          </w:tcPr>
          <w:p w14:paraId="35F13C25" w14:textId="77777777" w:rsidR="000D319A" w:rsidRPr="003072C8" w:rsidRDefault="000D319A" w:rsidP="000D319A">
            <w:r w:rsidRPr="003072C8">
              <w:t>Relationship Abuse</w:t>
            </w:r>
          </w:p>
        </w:tc>
      </w:tr>
      <w:tr w:rsidR="000D319A" w:rsidRPr="003072C8" w14:paraId="27C9798C" w14:textId="77777777" w:rsidTr="003C6EC5">
        <w:trPr>
          <w:trHeight w:val="259"/>
        </w:trPr>
        <w:tc>
          <w:tcPr>
            <w:tcW w:w="4813" w:type="dxa"/>
          </w:tcPr>
          <w:p w14:paraId="5FF4B14E" w14:textId="77777777" w:rsidR="000D319A" w:rsidRPr="003072C8" w:rsidRDefault="000D319A" w:rsidP="000D319A">
            <w:r w:rsidRPr="003072C8">
              <w:t>Emotional Abuse</w:t>
            </w:r>
          </w:p>
        </w:tc>
        <w:tc>
          <w:tcPr>
            <w:tcW w:w="4815" w:type="dxa"/>
          </w:tcPr>
          <w:p w14:paraId="4942EEA1" w14:textId="77777777" w:rsidR="000D319A" w:rsidRPr="003072C8" w:rsidRDefault="000D319A" w:rsidP="000D319A">
            <w:r w:rsidRPr="003072C8">
              <w:t>Resistant families/disguised compliance</w:t>
            </w:r>
          </w:p>
        </w:tc>
      </w:tr>
      <w:tr w:rsidR="000D319A" w:rsidRPr="003072C8" w14:paraId="17C4962F" w14:textId="77777777" w:rsidTr="003C6EC5">
        <w:trPr>
          <w:trHeight w:val="256"/>
        </w:trPr>
        <w:tc>
          <w:tcPr>
            <w:tcW w:w="4813" w:type="dxa"/>
          </w:tcPr>
          <w:p w14:paraId="7748A847" w14:textId="77777777" w:rsidR="000D319A" w:rsidRPr="003072C8" w:rsidRDefault="000D319A" w:rsidP="000D319A">
            <w:r w:rsidRPr="003072C8">
              <w:t>Fabricated or induced illness</w:t>
            </w:r>
          </w:p>
        </w:tc>
        <w:tc>
          <w:tcPr>
            <w:tcW w:w="4815" w:type="dxa"/>
          </w:tcPr>
          <w:p w14:paraId="396CA361" w14:textId="7CA7400C" w:rsidR="000D319A" w:rsidRPr="003072C8" w:rsidRDefault="000D319A" w:rsidP="000D319A">
            <w:r w:rsidRPr="003072C8">
              <w:t>Self-harm</w:t>
            </w:r>
          </w:p>
        </w:tc>
      </w:tr>
      <w:tr w:rsidR="000D319A" w:rsidRPr="003072C8" w14:paraId="285F9386" w14:textId="77777777" w:rsidTr="003C6EC5">
        <w:trPr>
          <w:trHeight w:val="259"/>
        </w:trPr>
        <w:tc>
          <w:tcPr>
            <w:tcW w:w="4813" w:type="dxa"/>
          </w:tcPr>
          <w:p w14:paraId="6BC249A9" w14:textId="77777777" w:rsidR="000D319A" w:rsidRPr="003072C8" w:rsidRDefault="000D319A" w:rsidP="000D319A">
            <w:r w:rsidRPr="003072C8">
              <w:t>Faith Abuse</w:t>
            </w:r>
          </w:p>
        </w:tc>
        <w:tc>
          <w:tcPr>
            <w:tcW w:w="4815" w:type="dxa"/>
          </w:tcPr>
          <w:p w14:paraId="1790C844" w14:textId="77777777" w:rsidR="000D319A" w:rsidRPr="003072C8" w:rsidRDefault="000D319A" w:rsidP="000D319A">
            <w:r w:rsidRPr="003072C8">
              <w:t>Sexting</w:t>
            </w:r>
          </w:p>
        </w:tc>
      </w:tr>
      <w:tr w:rsidR="000D319A" w:rsidRPr="003072C8" w14:paraId="3AAF9C72" w14:textId="77777777" w:rsidTr="003C6EC5">
        <w:trPr>
          <w:trHeight w:val="256"/>
        </w:trPr>
        <w:tc>
          <w:tcPr>
            <w:tcW w:w="4813" w:type="dxa"/>
          </w:tcPr>
          <w:p w14:paraId="75AB45B5" w14:textId="77777777" w:rsidR="000D319A" w:rsidRPr="003072C8" w:rsidRDefault="000D319A" w:rsidP="000D319A">
            <w:r w:rsidRPr="003072C8">
              <w:t>Female genital mutilation</w:t>
            </w:r>
          </w:p>
        </w:tc>
        <w:tc>
          <w:tcPr>
            <w:tcW w:w="4815" w:type="dxa"/>
          </w:tcPr>
          <w:p w14:paraId="469E1C47" w14:textId="77777777" w:rsidR="000D319A" w:rsidRPr="003072C8" w:rsidRDefault="000D319A" w:rsidP="000D319A">
            <w:r w:rsidRPr="003072C8">
              <w:t>Sexual Abuse</w:t>
            </w:r>
          </w:p>
        </w:tc>
      </w:tr>
      <w:tr w:rsidR="000D319A" w:rsidRPr="003072C8" w14:paraId="5C30F827" w14:textId="77777777" w:rsidTr="003C6EC5">
        <w:trPr>
          <w:trHeight w:val="259"/>
        </w:trPr>
        <w:tc>
          <w:tcPr>
            <w:tcW w:w="4813" w:type="dxa"/>
          </w:tcPr>
          <w:p w14:paraId="7E119448" w14:textId="77777777" w:rsidR="000D319A" w:rsidRPr="003072C8" w:rsidRDefault="000D319A" w:rsidP="000D319A">
            <w:r w:rsidRPr="003072C8">
              <w:t>Forced marriage</w:t>
            </w:r>
          </w:p>
        </w:tc>
        <w:tc>
          <w:tcPr>
            <w:tcW w:w="4815" w:type="dxa"/>
          </w:tcPr>
          <w:p w14:paraId="03728A51" w14:textId="77777777" w:rsidR="000D319A" w:rsidRPr="003072C8" w:rsidRDefault="000D319A" w:rsidP="000D319A">
            <w:r w:rsidRPr="003072C8">
              <w:t>Trafficking</w:t>
            </w:r>
          </w:p>
        </w:tc>
      </w:tr>
      <w:tr w:rsidR="000D319A" w:rsidRPr="003072C8" w14:paraId="3F006E16" w14:textId="77777777" w:rsidTr="003C6EC5">
        <w:trPr>
          <w:trHeight w:val="259"/>
        </w:trPr>
        <w:tc>
          <w:tcPr>
            <w:tcW w:w="4813" w:type="dxa"/>
          </w:tcPr>
          <w:p w14:paraId="5DACC8E2" w14:textId="77777777" w:rsidR="000D319A" w:rsidRPr="003072C8" w:rsidRDefault="000D319A" w:rsidP="000D319A">
            <w:r w:rsidRPr="003072C8">
              <w:t>Gangs and youth violence</w:t>
            </w:r>
          </w:p>
        </w:tc>
        <w:tc>
          <w:tcPr>
            <w:tcW w:w="4815" w:type="dxa"/>
          </w:tcPr>
          <w:p w14:paraId="48A36257" w14:textId="77777777" w:rsidR="000D319A" w:rsidRPr="003072C8" w:rsidRDefault="000D319A" w:rsidP="000D319A">
            <w:r w:rsidRPr="003072C8">
              <w:t>Upskirting</w:t>
            </w:r>
          </w:p>
        </w:tc>
      </w:tr>
      <w:tr w:rsidR="000D319A" w:rsidRPr="003072C8" w14:paraId="5CB43816" w14:textId="77777777" w:rsidTr="003C6EC5">
        <w:trPr>
          <w:trHeight w:val="259"/>
        </w:trPr>
        <w:tc>
          <w:tcPr>
            <w:tcW w:w="4813" w:type="dxa"/>
          </w:tcPr>
          <w:p w14:paraId="7833E741" w14:textId="77777777" w:rsidR="000D319A" w:rsidRPr="003072C8" w:rsidRDefault="000D319A" w:rsidP="000D319A"/>
        </w:tc>
        <w:tc>
          <w:tcPr>
            <w:tcW w:w="4815" w:type="dxa"/>
          </w:tcPr>
          <w:p w14:paraId="7A3BA19F" w14:textId="08D8906B" w:rsidR="000D319A" w:rsidRPr="003072C8" w:rsidRDefault="000D319A" w:rsidP="000D319A">
            <w:r w:rsidRPr="003072C8">
              <w:t>Breast Ironing</w:t>
            </w:r>
          </w:p>
        </w:tc>
      </w:tr>
      <w:tr w:rsidR="000D319A" w:rsidRPr="003072C8" w14:paraId="0C0A8543" w14:textId="77777777" w:rsidTr="003C6EC5">
        <w:trPr>
          <w:trHeight w:val="515"/>
        </w:trPr>
        <w:tc>
          <w:tcPr>
            <w:tcW w:w="4813" w:type="dxa"/>
          </w:tcPr>
          <w:p w14:paraId="0E8C0A9A" w14:textId="77777777" w:rsidR="000D319A" w:rsidRPr="003072C8" w:rsidRDefault="000D319A" w:rsidP="000D319A">
            <w:r w:rsidRPr="003072C8">
              <w:t>Gender based violence/violence against women and girls</w:t>
            </w:r>
          </w:p>
        </w:tc>
        <w:tc>
          <w:tcPr>
            <w:tcW w:w="4815" w:type="dxa"/>
          </w:tcPr>
          <w:p w14:paraId="2D7F69CC" w14:textId="77777777" w:rsidR="000D319A" w:rsidRPr="003072C8" w:rsidRDefault="000D319A" w:rsidP="000D319A">
            <w:r w:rsidRPr="003072C8">
              <w:t>Young Carers</w:t>
            </w:r>
          </w:p>
        </w:tc>
      </w:tr>
    </w:tbl>
    <w:p w14:paraId="0AA72021" w14:textId="77777777" w:rsidR="000D319A" w:rsidRPr="003072C8" w:rsidRDefault="000D319A" w:rsidP="000D319A"/>
    <w:p w14:paraId="48883BB9" w14:textId="77777777" w:rsidR="000D319A" w:rsidRPr="003072C8" w:rsidRDefault="000D319A" w:rsidP="000D319A"/>
    <w:p w14:paraId="2D6808B7" w14:textId="210C06E3" w:rsidR="000D319A" w:rsidRPr="00074225" w:rsidRDefault="00074225" w:rsidP="00074225">
      <w:pPr>
        <w:pStyle w:val="Heading2"/>
        <w:rPr>
          <w:b/>
          <w:bCs/>
        </w:rPr>
      </w:pPr>
      <w:bookmarkStart w:id="7" w:name="_Toc228899489"/>
      <w:r>
        <w:rPr>
          <w:b/>
          <w:bCs/>
        </w:rPr>
        <w:t xml:space="preserve">9. </w:t>
      </w:r>
      <w:r w:rsidR="000D319A" w:rsidRPr="00074225">
        <w:rPr>
          <w:b/>
          <w:bCs/>
        </w:rPr>
        <w:t>ROLES AND RESPONSIBILITIES, APPLICABLE TO ALL</w:t>
      </w:r>
      <w:bookmarkEnd w:id="7"/>
      <w:r w:rsidR="002C2EAB">
        <w:rPr>
          <w:b/>
          <w:bCs/>
        </w:rPr>
        <w:br/>
      </w:r>
    </w:p>
    <w:p w14:paraId="0B232C86" w14:textId="77777777" w:rsidR="000D319A" w:rsidRPr="003072C8" w:rsidRDefault="000D319A" w:rsidP="000D319A">
      <w:r w:rsidRPr="003072C8">
        <w:t>We will:</w:t>
      </w:r>
    </w:p>
    <w:p w14:paraId="5F6FD490" w14:textId="77777777" w:rsidR="000D319A" w:rsidRPr="003072C8" w:rsidRDefault="000D319A" w:rsidP="000D319A">
      <w:r w:rsidRPr="003072C8">
        <w:t>•    Report any unusual/inappropriate behaviour to the Designated Safeguarding Lead in line with the General Data Protection Regulation.</w:t>
      </w:r>
    </w:p>
    <w:p w14:paraId="603A87E1" w14:textId="77777777" w:rsidR="000D319A" w:rsidRPr="003072C8" w:rsidRDefault="000D319A" w:rsidP="000D319A">
      <w:r w:rsidRPr="003072C8">
        <w:t xml:space="preserve">•    Ensure that children, young people, and vulnerable adults know they can approach any </w:t>
      </w:r>
      <w:proofErr w:type="gramStart"/>
      <w:r w:rsidRPr="003072C8">
        <w:t>of  the</w:t>
      </w:r>
      <w:proofErr w:type="gramEnd"/>
      <w:r w:rsidRPr="003072C8">
        <w:t xml:space="preserve"> adults in our organisation if they are worried about something and that they will receive a consistent, supportive response.</w:t>
      </w:r>
    </w:p>
    <w:p w14:paraId="407BAE56" w14:textId="77777777" w:rsidR="000D319A" w:rsidRPr="003072C8" w:rsidRDefault="000D319A" w:rsidP="000D319A">
      <w:r w:rsidRPr="003072C8">
        <w:t>•    Share any relevant additional information in a timely manner in line with the General Data Protection Regulation.</w:t>
      </w:r>
    </w:p>
    <w:p w14:paraId="63DBECC9" w14:textId="77777777" w:rsidR="000D319A" w:rsidRPr="003072C8" w:rsidRDefault="000D319A" w:rsidP="000D319A">
      <w:r w:rsidRPr="003072C8">
        <w:t>•    Commit to upholding a climate where children, young people, and vulnerable adults are   listened to, believed, and their feelings and wishes accounted for in any actions that may be taken.</w:t>
      </w:r>
    </w:p>
    <w:p w14:paraId="0717C92B" w14:textId="0039D988" w:rsidR="000D319A" w:rsidRPr="003072C8" w:rsidRDefault="000D319A" w:rsidP="000D319A">
      <w:r w:rsidRPr="003072C8">
        <w:t xml:space="preserve">•    </w:t>
      </w:r>
      <w:r w:rsidRPr="003072C8">
        <w:rPr>
          <w:b/>
          <w:bCs/>
        </w:rPr>
        <w:t xml:space="preserve">Never assume that others are monitoring a child, young person, or vulnerable adult. Others may have </w:t>
      </w:r>
      <w:proofErr w:type="gramStart"/>
      <w:r w:rsidRPr="003072C8">
        <w:rPr>
          <w:b/>
          <w:bCs/>
        </w:rPr>
        <w:t>doubts</w:t>
      </w:r>
      <w:proofErr w:type="gramEnd"/>
      <w:r w:rsidRPr="003072C8">
        <w:rPr>
          <w:b/>
          <w:bCs/>
        </w:rPr>
        <w:t xml:space="preserve"> but you could be the only person </w:t>
      </w:r>
      <w:proofErr w:type="gramStart"/>
      <w:r w:rsidRPr="003072C8">
        <w:rPr>
          <w:b/>
          <w:bCs/>
        </w:rPr>
        <w:t>taking action</w:t>
      </w:r>
      <w:proofErr w:type="gramEnd"/>
      <w:r w:rsidRPr="003072C8">
        <w:rPr>
          <w:b/>
          <w:bCs/>
        </w:rPr>
        <w:t>.</w:t>
      </w:r>
    </w:p>
    <w:p w14:paraId="368D2A8C" w14:textId="77777777" w:rsidR="000D319A" w:rsidRPr="003072C8" w:rsidRDefault="000D319A" w:rsidP="000D319A">
      <w:r w:rsidRPr="003072C8">
        <w:t>•    If in any doubt about what action to take, staff must seek advice from the named Designated Safeguarding Lead.</w:t>
      </w:r>
    </w:p>
    <w:p w14:paraId="60A611FA" w14:textId="77777777" w:rsidR="000D319A" w:rsidRPr="003072C8" w:rsidRDefault="000D319A" w:rsidP="000D319A">
      <w:r w:rsidRPr="003072C8">
        <w:t>Nantwich Youth and Community Centre will:</w:t>
      </w:r>
    </w:p>
    <w:p w14:paraId="5E0C8AD8" w14:textId="77777777" w:rsidR="000D319A" w:rsidRPr="003072C8" w:rsidRDefault="000D319A" w:rsidP="000D319A">
      <w:r w:rsidRPr="003072C8">
        <w:lastRenderedPageBreak/>
        <w:t>•    Ensure we have a designated lead staff member for safeguarding.</w:t>
      </w:r>
    </w:p>
    <w:p w14:paraId="2237774F" w14:textId="77777777" w:rsidR="000D319A" w:rsidRPr="003072C8" w:rsidRDefault="000D319A" w:rsidP="000D319A">
      <w:r w:rsidRPr="003072C8">
        <w:t>•    Ensure that our Designated Safeguarding Officers receive Specialist Safeguarding</w:t>
      </w:r>
    </w:p>
    <w:p w14:paraId="44E8C852" w14:textId="77777777" w:rsidR="000D319A" w:rsidRPr="003072C8" w:rsidRDefault="000D319A" w:rsidP="000D319A">
      <w:r w:rsidRPr="003072C8">
        <w:t>training, refreshed every two years,</w:t>
      </w:r>
    </w:p>
    <w:p w14:paraId="3159DB97" w14:textId="77777777" w:rsidR="000D319A" w:rsidRPr="003072C8" w:rsidRDefault="000D319A" w:rsidP="000D319A">
      <w:r w:rsidRPr="003072C8">
        <w:t>•    Ensure that all ‘regular’ adult volunteers receive basic Safeguarding training every three years. This will normally be Level 1 for ad-hoc volunteers and Level 2 for regular</w:t>
      </w:r>
    </w:p>
    <w:p w14:paraId="5F49F59D" w14:textId="77777777" w:rsidR="000D319A" w:rsidRPr="003072C8" w:rsidRDefault="000D319A" w:rsidP="000D319A">
      <w:r w:rsidRPr="003072C8">
        <w:t>volunteers/committee members.</w:t>
      </w:r>
    </w:p>
    <w:p w14:paraId="336065FF" w14:textId="77777777" w:rsidR="000D319A" w:rsidRPr="003072C8" w:rsidRDefault="000D319A" w:rsidP="000D319A">
      <w:r w:rsidRPr="003072C8">
        <w:t>•    Ensure that all adults have read this safeguarding policy and know who the Designated Safeguarding Leads are in case they need to pass on concerns.</w:t>
      </w:r>
    </w:p>
    <w:p w14:paraId="1435B8F0" w14:textId="77777777" w:rsidR="000D319A" w:rsidRPr="003072C8" w:rsidRDefault="000D319A" w:rsidP="000D319A">
      <w:r w:rsidRPr="003072C8">
        <w:t>•    Keep accurate written records of concerns for a child, young person, or vulnerable adult, even in cases where a referral is not appropriate immediately in line with the General</w:t>
      </w:r>
    </w:p>
    <w:p w14:paraId="6C0485BC" w14:textId="77777777" w:rsidR="000D319A" w:rsidRPr="003072C8" w:rsidRDefault="000D319A" w:rsidP="000D319A">
      <w:r w:rsidRPr="003072C8">
        <w:t>Data Protection Regulation.</w:t>
      </w:r>
    </w:p>
    <w:p w14:paraId="048B6022" w14:textId="77777777" w:rsidR="000D319A" w:rsidRPr="003072C8" w:rsidRDefault="000D319A" w:rsidP="000D319A">
      <w:r w:rsidRPr="003072C8">
        <w:t>•    Ensure that all adults are recruited safely and have had the appropriate checks, which are re-checked regularly.</w:t>
      </w:r>
    </w:p>
    <w:p w14:paraId="71F39BF1" w14:textId="77777777" w:rsidR="000D319A" w:rsidRPr="003072C8" w:rsidRDefault="000D319A" w:rsidP="000D319A">
      <w:r w:rsidRPr="003072C8">
        <w:t>•    All new adults are supervised until references have been verified and DBS checks received.</w:t>
      </w:r>
    </w:p>
    <w:p w14:paraId="29B2511B" w14:textId="77777777" w:rsidR="000D319A" w:rsidRPr="003072C8" w:rsidRDefault="000D319A" w:rsidP="000D319A">
      <w:r w:rsidRPr="003072C8">
        <w:t>•    Ensure that all adults are aware that they must refer any allegations against another worker to the club Designated Safeguarding Lead.</w:t>
      </w:r>
    </w:p>
    <w:p w14:paraId="42BC8B7F" w14:textId="465AF86B" w:rsidR="000D319A" w:rsidRPr="003072C8" w:rsidRDefault="000D319A" w:rsidP="000D319A">
      <w:r w:rsidRPr="003072C8">
        <w:t>•    Ensure that this policy is reviewed annually.</w:t>
      </w:r>
    </w:p>
    <w:p w14:paraId="56405C54" w14:textId="77777777" w:rsidR="000D319A" w:rsidRPr="003072C8" w:rsidRDefault="000D319A" w:rsidP="000D319A"/>
    <w:p w14:paraId="7E22F082" w14:textId="77777777" w:rsidR="000D319A" w:rsidRPr="003072C8" w:rsidRDefault="000D319A" w:rsidP="000D319A">
      <w:r w:rsidRPr="003072C8">
        <w:rPr>
          <w:b/>
          <w:bCs/>
        </w:rPr>
        <w:t>Action to Ensure Security</w:t>
      </w:r>
    </w:p>
    <w:p w14:paraId="1D719DF2" w14:textId="77777777" w:rsidR="000D319A" w:rsidRPr="003072C8" w:rsidRDefault="000D319A" w:rsidP="000D319A">
      <w:r w:rsidRPr="003072C8">
        <w:t>Immediate action may be necessary at any stage when involved with families, young people, or vulnerable adults.</w:t>
      </w:r>
    </w:p>
    <w:p w14:paraId="2AC503FD" w14:textId="77777777" w:rsidR="000D319A" w:rsidRPr="003072C8" w:rsidRDefault="000D319A" w:rsidP="000D319A">
      <w:r w:rsidRPr="003072C8">
        <w:t>IN EVERY CASE IT IS OF PARAMOUNT IMPORTANCE TO TAKE WHATEVER ACTIONS ARE NEEDED TO ENSURE THE SAFETY OF THE CHILD OR YOUNG PERSON INVOLVED.</w:t>
      </w:r>
    </w:p>
    <w:p w14:paraId="6336C7CA" w14:textId="77777777" w:rsidR="000D319A" w:rsidRPr="003072C8" w:rsidRDefault="000D319A" w:rsidP="000D319A">
      <w:r w:rsidRPr="003072C8">
        <w:t>i.e.</w:t>
      </w:r>
    </w:p>
    <w:p w14:paraId="479B8A24" w14:textId="77777777" w:rsidR="000D319A" w:rsidRPr="003072C8" w:rsidRDefault="000D319A" w:rsidP="000D319A">
      <w:r w:rsidRPr="003072C8">
        <w:t>•    If emergency medical attention is required, then either phone the emergency services or take the young person or vulnerable adult to the nearest Accident and Emergency</w:t>
      </w:r>
    </w:p>
    <w:p w14:paraId="350F6749" w14:textId="77777777" w:rsidR="000D319A" w:rsidRPr="003072C8" w:rsidRDefault="000D319A" w:rsidP="000D319A">
      <w:r w:rsidRPr="003072C8">
        <w:t>department.</w:t>
      </w:r>
    </w:p>
    <w:p w14:paraId="2AFA3E0D" w14:textId="77777777" w:rsidR="000D319A" w:rsidRPr="003072C8" w:rsidRDefault="000D319A" w:rsidP="000D319A">
      <w:r w:rsidRPr="003072C8">
        <w:t>•    If a child is in immediate danger the police should be contacted, as they alone have the power to remove a child immediately if protection is necessary.</w:t>
      </w:r>
    </w:p>
    <w:p w14:paraId="6139596C" w14:textId="77777777" w:rsidR="000D319A" w:rsidRPr="003072C8" w:rsidRDefault="000D319A" w:rsidP="000D319A"/>
    <w:p w14:paraId="70287DEA" w14:textId="77777777" w:rsidR="000D319A" w:rsidRPr="003072C8" w:rsidRDefault="000D319A" w:rsidP="000D319A">
      <w:r w:rsidRPr="003072C8">
        <w:rPr>
          <w:b/>
          <w:bCs/>
        </w:rPr>
        <w:t>Safeguarding of Adults including Vulnerable Adults</w:t>
      </w:r>
    </w:p>
    <w:p w14:paraId="5C73799C" w14:textId="77777777" w:rsidR="000D319A" w:rsidRPr="003072C8" w:rsidRDefault="000D319A" w:rsidP="000D319A">
      <w:r w:rsidRPr="003072C8">
        <w:t>Nantwich Youth and Community Centre will not tolerate the abuse of adults in any of its forms and is committed to safeguarding adults with specific needs from harm.</w:t>
      </w:r>
    </w:p>
    <w:p w14:paraId="550D3C66" w14:textId="77777777" w:rsidR="000D319A" w:rsidRPr="003072C8" w:rsidRDefault="000D319A" w:rsidP="000D319A">
      <w:r w:rsidRPr="003072C8">
        <w:t>The Committee are aware that its adult helpers bring a plethora of useful skills, but in some cases will also present with access or disability needs, long-term health conditions, or other</w:t>
      </w:r>
    </w:p>
    <w:p w14:paraId="77D2F004" w14:textId="77777777" w:rsidR="000D319A" w:rsidRPr="003072C8" w:rsidRDefault="000D319A" w:rsidP="000D319A">
      <w:r w:rsidRPr="003072C8">
        <w:t>circumstances that could make undertaking duties on behalf of the organisation more challenging without further support being implemented.</w:t>
      </w:r>
    </w:p>
    <w:p w14:paraId="724EB6EC" w14:textId="3C99CECC" w:rsidR="000D319A" w:rsidRPr="003072C8" w:rsidRDefault="000D319A" w:rsidP="000D319A">
      <w:r w:rsidRPr="003072C8">
        <w:t xml:space="preserve">Nantwich Youth and Community Centre will ensure that when recruiting adults to the adult team appropriate measures are taken to ensure the process is as accessible as possible. </w:t>
      </w:r>
      <w:r w:rsidRPr="003072C8">
        <w:rPr>
          <w:i/>
          <w:iCs/>
        </w:rPr>
        <w:t>See Recruitment of Helpers Policy.</w:t>
      </w:r>
    </w:p>
    <w:p w14:paraId="4C29610F" w14:textId="4180A421" w:rsidR="000D319A" w:rsidRPr="003072C8" w:rsidRDefault="000D319A" w:rsidP="000D319A">
      <w:r w:rsidRPr="003072C8">
        <w:lastRenderedPageBreak/>
        <w:t>Any adults that are accepted to the adult team are bound by the same policies. Where necessary, reasonable adjustments shall be made to ensure that adults with support needs are able to fulfil their agreed duties to the best of their abilities.</w:t>
      </w:r>
    </w:p>
    <w:p w14:paraId="6A7D62F3" w14:textId="77777777" w:rsidR="000D319A" w:rsidRPr="003072C8" w:rsidRDefault="000D319A" w:rsidP="000D319A">
      <w:pPr>
        <w:sectPr w:rsidR="000D319A" w:rsidRPr="003072C8">
          <w:headerReference w:type="default" r:id="rId15"/>
          <w:pgSz w:w="11900" w:h="16841"/>
          <w:pgMar w:top="2138" w:right="1121" w:bottom="0" w:left="1132" w:header="658" w:footer="0" w:gutter="0"/>
          <w:cols w:space="720"/>
        </w:sectPr>
      </w:pPr>
    </w:p>
    <w:p w14:paraId="6749F0B2" w14:textId="7CDEFE01" w:rsidR="000D319A" w:rsidRPr="003072C8" w:rsidRDefault="00262395" w:rsidP="000D319A">
      <w:bookmarkStart w:id="8" w:name="_Toc228899490"/>
      <w:r>
        <w:rPr>
          <w:rStyle w:val="Heading2Char"/>
          <w:b/>
          <w:bCs/>
        </w:rPr>
        <w:lastRenderedPageBreak/>
        <w:t xml:space="preserve">10. </w:t>
      </w:r>
      <w:r w:rsidRPr="00262395">
        <w:rPr>
          <w:rStyle w:val="Heading2Char"/>
          <w:b/>
          <w:bCs/>
        </w:rPr>
        <w:t>Reasonable Adjustments</w:t>
      </w:r>
      <w:bookmarkEnd w:id="8"/>
      <w:r w:rsidR="000B70C1">
        <w:br/>
      </w:r>
      <w:r w:rsidR="000B70C1">
        <w:br/>
      </w:r>
      <w:r w:rsidR="000D319A" w:rsidRPr="003072C8">
        <w:t>Members of the adult team who identify as requiring adjustments to the working environment or role they are to undertake will have the opportunity to discuss this confidentially with the Youth Worker informally in the first instance if it is a direct contact role or with the Chair of Trustees if a non-contact role.</w:t>
      </w:r>
    </w:p>
    <w:p w14:paraId="1AA3D680" w14:textId="77777777" w:rsidR="000D319A" w:rsidRPr="003072C8" w:rsidRDefault="000D319A" w:rsidP="000D319A"/>
    <w:p w14:paraId="3CCDB479" w14:textId="43E54135" w:rsidR="000D319A" w:rsidRPr="003072C8" w:rsidRDefault="000D319A" w:rsidP="000D319A">
      <w:r w:rsidRPr="003072C8">
        <w:t>If more permanent adjustments are required, it may be necessary to convene a meeting, including the Chair, who acts as Health and Safety Representative, to ensure that the organisation is supporting the individual as fully as is reasonably possible.</w:t>
      </w:r>
    </w:p>
    <w:p w14:paraId="50323F7B" w14:textId="57C3B248" w:rsidR="000D319A" w:rsidRPr="003072C8" w:rsidRDefault="000D319A" w:rsidP="000D319A">
      <w:r w:rsidRPr="003072C8">
        <w:t>At the time of updating this section of the policy, whilst members of the adult team have varying support needs to fulfil their duties, their needs are not classified as requiring further intervention from outside agencies nor specialist safeguarding trained members of the committee or leadership team. This will continue to be monitored closely and actioned as necessary.</w:t>
      </w:r>
    </w:p>
    <w:p w14:paraId="2B584306" w14:textId="77777777" w:rsidR="000D319A" w:rsidRPr="003072C8" w:rsidRDefault="000D319A" w:rsidP="000D319A"/>
    <w:p w14:paraId="7410191D" w14:textId="77777777" w:rsidR="000D319A" w:rsidRPr="003072C8" w:rsidRDefault="000D319A" w:rsidP="000D319A">
      <w:r w:rsidRPr="003072C8">
        <w:rPr>
          <w:b/>
          <w:bCs/>
        </w:rPr>
        <w:t>Virtual Meetings and Online Support</w:t>
      </w:r>
    </w:p>
    <w:p w14:paraId="28A068DE" w14:textId="494E0258" w:rsidR="000D319A" w:rsidRPr="003072C8" w:rsidRDefault="000D319A" w:rsidP="000D319A">
      <w:r w:rsidRPr="003072C8">
        <w:t>Nantwich Youth and Community Centre can move sessions online should it be deemed appropriate, despite the resumption of direct contact youth work.</w:t>
      </w:r>
    </w:p>
    <w:p w14:paraId="73ED36AA" w14:textId="77777777" w:rsidR="000D319A" w:rsidRPr="003072C8" w:rsidRDefault="000D319A" w:rsidP="000D319A"/>
    <w:p w14:paraId="2CE3E5E4" w14:textId="6E56FCD5" w:rsidR="000D319A" w:rsidRPr="003072C8" w:rsidRDefault="000D319A" w:rsidP="000D319A">
      <w:r w:rsidRPr="003072C8">
        <w:t>Any online facilities should be checked to ensure that they are password protected and the waiting room is enabled. There must always be two leaders present during a session. An email in advance must be sent out providing login details with the password in. This can be sent directly to parents, or in the case of us having young people’s email addresses, to   them, copying in parents for information.</w:t>
      </w:r>
    </w:p>
    <w:p w14:paraId="4BFE7EE5" w14:textId="77777777" w:rsidR="000D319A" w:rsidRPr="003072C8" w:rsidRDefault="000D319A" w:rsidP="000D319A"/>
    <w:p w14:paraId="7D56E26A" w14:textId="6B7E1C17" w:rsidR="000D319A" w:rsidRPr="00935DB3" w:rsidRDefault="00935DB3" w:rsidP="00935DB3">
      <w:pPr>
        <w:pStyle w:val="Heading2"/>
        <w:rPr>
          <w:b/>
          <w:bCs/>
        </w:rPr>
      </w:pPr>
      <w:bookmarkStart w:id="9" w:name="_Toc228899491"/>
      <w:r>
        <w:rPr>
          <w:b/>
          <w:bCs/>
        </w:rPr>
        <w:t xml:space="preserve">11. </w:t>
      </w:r>
      <w:r w:rsidR="000D319A" w:rsidRPr="00935DB3">
        <w:rPr>
          <w:b/>
          <w:bCs/>
        </w:rPr>
        <w:t>Radicalisation, Violent Extremism, and Terrorism</w:t>
      </w:r>
      <w:bookmarkEnd w:id="9"/>
    </w:p>
    <w:p w14:paraId="03E21E8D" w14:textId="77777777" w:rsidR="000D319A" w:rsidRPr="003072C8" w:rsidRDefault="000D319A" w:rsidP="000D319A"/>
    <w:p w14:paraId="09390ACD" w14:textId="77777777" w:rsidR="000D319A" w:rsidRPr="003072C8" w:rsidRDefault="000D319A" w:rsidP="000D319A">
      <w:r w:rsidRPr="003072C8">
        <w:t>Radicalisation of children and young people is an area of growing concern within the UK.</w:t>
      </w:r>
    </w:p>
    <w:p w14:paraId="6C600B8C" w14:textId="77777777" w:rsidR="000D319A" w:rsidRPr="003072C8" w:rsidRDefault="000D319A" w:rsidP="000D319A"/>
    <w:p w14:paraId="3BA7F917" w14:textId="77777777" w:rsidR="000D319A" w:rsidRPr="003072C8" w:rsidRDefault="000D319A" w:rsidP="000D319A">
      <w:r w:rsidRPr="003072C8">
        <w:t xml:space="preserve">•    </w:t>
      </w:r>
      <w:r w:rsidRPr="003072C8">
        <w:rPr>
          <w:b/>
          <w:bCs/>
        </w:rPr>
        <w:t xml:space="preserve">Radicalisation – </w:t>
      </w:r>
      <w:r w:rsidRPr="003072C8">
        <w:t>the process by which a person comes to support terrorism and forms of extremism leading to terrorism.</w:t>
      </w:r>
    </w:p>
    <w:p w14:paraId="360BAB51" w14:textId="77777777" w:rsidR="000D319A" w:rsidRPr="003072C8" w:rsidRDefault="000D319A" w:rsidP="000D319A">
      <w:r w:rsidRPr="003072C8">
        <w:t xml:space="preserve">•    </w:t>
      </w:r>
      <w:r w:rsidRPr="003072C8">
        <w:rPr>
          <w:b/>
          <w:bCs/>
        </w:rPr>
        <w:t xml:space="preserve">Extremism – </w:t>
      </w:r>
      <w:r w:rsidRPr="003072C8">
        <w:t>the holding of extreme political or religious views, fanaticism, notably where one advocates illegal, violent, or other extreme actions.</w:t>
      </w:r>
    </w:p>
    <w:p w14:paraId="78B81299" w14:textId="77777777" w:rsidR="000D319A" w:rsidRPr="003072C8" w:rsidRDefault="000D319A" w:rsidP="000D319A">
      <w:r w:rsidRPr="003072C8">
        <w:t xml:space="preserve">•    </w:t>
      </w:r>
      <w:r w:rsidRPr="003072C8">
        <w:rPr>
          <w:b/>
          <w:bCs/>
        </w:rPr>
        <w:t xml:space="preserve">Terrorism – </w:t>
      </w:r>
      <w:r w:rsidRPr="003072C8">
        <w:t>an action that endangers or causes serious violence to a person/people, serious damage to property or seriously interferes or disrupts an electronic system.</w:t>
      </w:r>
    </w:p>
    <w:p w14:paraId="48AE5F0F" w14:textId="77777777" w:rsidR="000D319A" w:rsidRPr="003072C8" w:rsidRDefault="000D319A" w:rsidP="000D319A">
      <w:r w:rsidRPr="003072C8">
        <w:t>Holding extremist views is not, in and of itself, a crime nor is it a safeguarding/child protection</w:t>
      </w:r>
    </w:p>
    <w:p w14:paraId="64819671" w14:textId="77777777" w:rsidR="000D319A" w:rsidRPr="003072C8" w:rsidRDefault="000D319A" w:rsidP="000D319A">
      <w:r w:rsidRPr="003072C8">
        <w:t>concern. Discovering and forming opinions about the world and society is a key part of normal</w:t>
      </w:r>
    </w:p>
    <w:p w14:paraId="5A755EA4" w14:textId="77777777" w:rsidR="000D319A" w:rsidRPr="003072C8" w:rsidRDefault="000D319A" w:rsidP="000D319A">
      <w:r w:rsidRPr="003072C8">
        <w:t>development for children and young people. Concerns for the safeguarding of children, young</w:t>
      </w:r>
    </w:p>
    <w:p w14:paraId="568CA93B" w14:textId="5BF5070D" w:rsidR="000D319A" w:rsidRPr="003072C8" w:rsidRDefault="000D319A" w:rsidP="000D319A">
      <w:r w:rsidRPr="003072C8">
        <w:lastRenderedPageBreak/>
        <w:t>people, and vulnerable adults arise when the means to engage them with an extremist agenda use abusive approaches, or when extremist views are used as justification for violent acts – which cause harm to the child, young person, or vulnerable adult.</w:t>
      </w:r>
    </w:p>
    <w:p w14:paraId="6D450E54" w14:textId="77777777" w:rsidR="000D319A" w:rsidRPr="003072C8" w:rsidRDefault="000D319A" w:rsidP="000D319A">
      <w:r w:rsidRPr="003072C8">
        <w:t>There is broad agreement over the factors influencing people’s vulnerability to radicalisation, the relative influence of these factors, and the way in which they interact are not clear cut.</w:t>
      </w:r>
    </w:p>
    <w:p w14:paraId="0D439AD0" w14:textId="2AE027F2" w:rsidR="000D319A" w:rsidRPr="003072C8" w:rsidRDefault="000D319A" w:rsidP="000D319A">
      <w:r w:rsidRPr="003072C8">
        <w:t xml:space="preserve">As such, all staff and regular volunteers with Nantwich Youth and community Centre are encouraged to </w:t>
      </w:r>
      <w:proofErr w:type="gramStart"/>
      <w:r w:rsidRPr="003072C8">
        <w:t xml:space="preserve">undertake </w:t>
      </w:r>
      <w:r w:rsidRPr="003072C8">
        <w:rPr>
          <w:i/>
          <w:iCs/>
        </w:rPr>
        <w:t xml:space="preserve"> </w:t>
      </w:r>
      <w:r w:rsidRPr="003072C8">
        <w:t>training</w:t>
      </w:r>
      <w:proofErr w:type="gramEnd"/>
      <w:r w:rsidRPr="003072C8">
        <w:t xml:space="preserve"> to ensure they know how to spot the signs and how to record and report concerns. Those with direct contact roles are </w:t>
      </w:r>
      <w:r w:rsidRPr="003072C8">
        <w:rPr>
          <w:u w:val="single"/>
        </w:rPr>
        <w:t>expected</w:t>
      </w:r>
      <w:r w:rsidRPr="003072C8">
        <w:t xml:space="preserve"> to undertake it.</w:t>
      </w:r>
    </w:p>
    <w:p w14:paraId="7596DF6C" w14:textId="77777777" w:rsidR="000D319A" w:rsidRPr="003072C8" w:rsidRDefault="000D319A" w:rsidP="000D319A">
      <w:pPr>
        <w:sectPr w:rsidR="000D319A" w:rsidRPr="003072C8">
          <w:pgSz w:w="11900" w:h="16841"/>
          <w:pgMar w:top="2138" w:right="1121" w:bottom="0" w:left="1132" w:header="658" w:footer="0" w:gutter="0"/>
          <w:cols w:space="720"/>
        </w:sectPr>
      </w:pPr>
    </w:p>
    <w:p w14:paraId="3806257A" w14:textId="77777777" w:rsidR="000D319A" w:rsidRPr="003072C8" w:rsidRDefault="000D319A" w:rsidP="000D319A"/>
    <w:p w14:paraId="5ED87AE2" w14:textId="001CA0EF" w:rsidR="000D319A" w:rsidRPr="00935DB3" w:rsidRDefault="00935DB3" w:rsidP="00935DB3">
      <w:pPr>
        <w:pStyle w:val="Heading2"/>
        <w:rPr>
          <w:b/>
          <w:bCs/>
        </w:rPr>
      </w:pPr>
      <w:bookmarkStart w:id="10" w:name="_Toc228899492"/>
      <w:r w:rsidRPr="00935DB3">
        <w:rPr>
          <w:b/>
          <w:bCs/>
        </w:rPr>
        <w:t xml:space="preserve">12 </w:t>
      </w:r>
      <w:r w:rsidR="000D319A" w:rsidRPr="00935DB3">
        <w:rPr>
          <w:b/>
          <w:bCs/>
        </w:rPr>
        <w:t>REPORTING SYSTEMS FOR YOUNG PEOPLE AND VULNERABLE ADULTS</w:t>
      </w:r>
      <w:bookmarkEnd w:id="10"/>
    </w:p>
    <w:p w14:paraId="39FE587E" w14:textId="77777777" w:rsidR="000D319A" w:rsidRPr="003072C8" w:rsidRDefault="000D319A" w:rsidP="000D319A"/>
    <w:p w14:paraId="6D95A1B4" w14:textId="77777777" w:rsidR="000D319A" w:rsidRPr="003072C8" w:rsidRDefault="000D319A" w:rsidP="000D319A">
      <w:r w:rsidRPr="003072C8">
        <w:rPr>
          <w:b/>
          <w:bCs/>
          <w:u w:val="single"/>
        </w:rPr>
        <w:t>REPORTING ABUSE</w:t>
      </w:r>
    </w:p>
    <w:p w14:paraId="20695E9E" w14:textId="77777777" w:rsidR="000D319A" w:rsidRPr="003072C8" w:rsidRDefault="000D319A" w:rsidP="000D319A">
      <w:r w:rsidRPr="003072C8">
        <w:rPr>
          <w:b/>
          <w:bCs/>
        </w:rPr>
        <w:t>If abuse is suspected:</w:t>
      </w:r>
    </w:p>
    <w:p w14:paraId="055FA05B" w14:textId="030DE8D6" w:rsidR="000D319A" w:rsidRPr="003072C8" w:rsidRDefault="000D319A" w:rsidP="000D319A">
      <w:r w:rsidRPr="003072C8">
        <w:t>•    Observations, conversations, or concerns will be recorded, signed, and dated in line with the General Data Protection Regulation (GDPR) Policy.</w:t>
      </w:r>
    </w:p>
    <w:p w14:paraId="40976514" w14:textId="28EF8CCA" w:rsidR="000D319A" w:rsidRPr="003072C8" w:rsidRDefault="000D319A" w:rsidP="000D319A">
      <w:r w:rsidRPr="003072C8">
        <w:t>•    The matter must not be investigated or discussed with anyone other than the Designated Safeguarding Leads or Youth Worker</w:t>
      </w:r>
      <w:r w:rsidR="008E6060">
        <w:t xml:space="preserve"> or appropriate </w:t>
      </w:r>
      <w:r w:rsidR="00586194">
        <w:t xml:space="preserve">safeguarding authorities where required. </w:t>
      </w:r>
    </w:p>
    <w:p w14:paraId="0B0D7594" w14:textId="77777777" w:rsidR="000D319A" w:rsidRPr="003072C8" w:rsidRDefault="000D319A" w:rsidP="000D319A">
      <w:r w:rsidRPr="003072C8">
        <w:t>•    The Designated Safeguarding Leads/Youth Worker will assess the information and will</w:t>
      </w:r>
    </w:p>
    <w:p w14:paraId="1E6462EB" w14:textId="77777777" w:rsidR="000D319A" w:rsidRPr="003072C8" w:rsidRDefault="000D319A" w:rsidP="000D319A">
      <w:r w:rsidRPr="003072C8">
        <w:t>contact the MASH team for advice and guidance. This may be in liaison with other DSL’s and the Chair, where appropriate and necessary.</w:t>
      </w:r>
    </w:p>
    <w:p w14:paraId="31E92E92" w14:textId="77777777" w:rsidR="000D319A" w:rsidRPr="003072C8" w:rsidRDefault="000D319A" w:rsidP="000D319A"/>
    <w:p w14:paraId="59AC68A2" w14:textId="77777777" w:rsidR="000D319A" w:rsidRPr="003072C8" w:rsidRDefault="000D319A" w:rsidP="000D319A">
      <w:r w:rsidRPr="003072C8">
        <w:rPr>
          <w:b/>
          <w:bCs/>
        </w:rPr>
        <w:t>If abuse is reported/alleged</w:t>
      </w:r>
    </w:p>
    <w:p w14:paraId="463707A3" w14:textId="47AA111D" w:rsidR="000D319A" w:rsidRPr="003072C8" w:rsidRDefault="000D319A" w:rsidP="000D319A">
      <w:r w:rsidRPr="003072C8">
        <w:t xml:space="preserve">1)   If a </w:t>
      </w:r>
      <w:proofErr w:type="gramStart"/>
      <w:r w:rsidRPr="003072C8">
        <w:t>child/young person/vulnerable adults</w:t>
      </w:r>
      <w:proofErr w:type="gramEnd"/>
      <w:r w:rsidRPr="003072C8">
        <w:t xml:space="preserve"> asks to speak to you about a problem, DO NOT promise confidentiality, but explain that it may be necessary to consult a senior colleague. Explain this as soon as possible to the child/young person/vulnerable adult.</w:t>
      </w:r>
    </w:p>
    <w:p w14:paraId="482CCA90" w14:textId="77777777" w:rsidR="000D319A" w:rsidRPr="003072C8" w:rsidRDefault="000D319A" w:rsidP="000D319A">
      <w:r w:rsidRPr="003072C8">
        <w:t xml:space="preserve">2)  </w:t>
      </w:r>
      <w:r w:rsidRPr="003072C8">
        <w:rPr>
          <w:u w:val="single"/>
        </w:rPr>
        <w:t>RECEIVE</w:t>
      </w:r>
      <w:r w:rsidRPr="003072C8">
        <w:t xml:space="preserve"> – Stop and listen if someone wants to tell you about suspicions of abuse. Listen quietly and actively, giving your undivided attention. Allow silences when needed. Do not   show shock or disbelief and take what is said seriously.</w:t>
      </w:r>
    </w:p>
    <w:p w14:paraId="7963C1B0" w14:textId="77777777" w:rsidR="000D319A" w:rsidRPr="003072C8" w:rsidRDefault="000D319A" w:rsidP="000D319A">
      <w:r w:rsidRPr="003072C8">
        <w:t xml:space="preserve">3)  </w:t>
      </w:r>
      <w:r w:rsidRPr="003072C8">
        <w:rPr>
          <w:u w:val="single"/>
        </w:rPr>
        <w:t>REASSURE</w:t>
      </w:r>
      <w:r w:rsidRPr="003072C8">
        <w:t xml:space="preserve"> – Stay calm and give reassurance to the child/young person/vulnerable</w:t>
      </w:r>
    </w:p>
    <w:p w14:paraId="030A72CE" w14:textId="77777777" w:rsidR="000D319A" w:rsidRPr="003072C8" w:rsidRDefault="000D319A" w:rsidP="000D319A">
      <w:r w:rsidRPr="003072C8">
        <w:t>adult. Explain to the child/young person/vulnerable that they have done the right thing by telling you and that what has happened is not their fault.</w:t>
      </w:r>
    </w:p>
    <w:p w14:paraId="42E2F1AC" w14:textId="77777777" w:rsidR="000D319A" w:rsidRPr="003072C8" w:rsidRDefault="000D319A" w:rsidP="000D319A">
      <w:r w:rsidRPr="003072C8">
        <w:t xml:space="preserve">4)  </w:t>
      </w:r>
      <w:r w:rsidRPr="003072C8">
        <w:rPr>
          <w:u w:val="single"/>
        </w:rPr>
        <w:t>REACT</w:t>
      </w:r>
      <w:r w:rsidRPr="003072C8">
        <w:t xml:space="preserve"> – Establish the facts of what has happened but do not ask leading questions.</w:t>
      </w:r>
    </w:p>
    <w:p w14:paraId="175E2D1B" w14:textId="77777777" w:rsidR="000D319A" w:rsidRPr="003072C8" w:rsidRDefault="000D319A" w:rsidP="000D319A">
      <w:r w:rsidRPr="003072C8">
        <w:t>Keep questioning open, e.g. ‘Is there anything else you want to say?’ or ‘Can you tell me more about that?’ Do not criticise the perpetrator. Explain to the child what you will do</w:t>
      </w:r>
    </w:p>
    <w:p w14:paraId="12F51238" w14:textId="77777777" w:rsidR="000D319A" w:rsidRPr="003072C8" w:rsidRDefault="000D319A" w:rsidP="000D319A">
      <w:r w:rsidRPr="003072C8">
        <w:t>next, e.g. you will need to pass this information to your Designated Safeguarding Lead.</w:t>
      </w:r>
    </w:p>
    <w:p w14:paraId="5262020C" w14:textId="0130DF2A" w:rsidR="000D319A" w:rsidRPr="003072C8" w:rsidRDefault="000D319A" w:rsidP="000D319A">
      <w:r w:rsidRPr="003072C8">
        <w:t xml:space="preserve">5)  </w:t>
      </w:r>
      <w:r w:rsidRPr="003072C8">
        <w:rPr>
          <w:u w:val="single"/>
        </w:rPr>
        <w:t>RECORD</w:t>
      </w:r>
      <w:r w:rsidRPr="003072C8">
        <w:t xml:space="preserve"> – If possible, make brief notes about what the child/young person is telling you   as they are speaking. If this is not appropriate, write down what was said, as soon as the   child has left. Record the date, time, place, your name and role and what was said, (rather than your interpretation of it). Use the child’s/young person’s/vulnerable adult’s language   wherever possible. </w:t>
      </w:r>
      <w:r w:rsidRPr="003072C8">
        <w:rPr>
          <w:b/>
          <w:bCs/>
        </w:rPr>
        <w:t xml:space="preserve">Note </w:t>
      </w:r>
      <w:r w:rsidRPr="003072C8">
        <w:t>– In most cases it is more appropriate to listen and record immediately afterwards.</w:t>
      </w:r>
    </w:p>
    <w:p w14:paraId="14F55C9B" w14:textId="77777777" w:rsidR="000D319A" w:rsidRPr="003072C8" w:rsidRDefault="000D319A" w:rsidP="000D319A">
      <w:r w:rsidRPr="003072C8">
        <w:t xml:space="preserve">6)  </w:t>
      </w:r>
      <w:r w:rsidRPr="003072C8">
        <w:rPr>
          <w:u w:val="single"/>
        </w:rPr>
        <w:t>REPORT</w:t>
      </w:r>
      <w:r w:rsidRPr="003072C8">
        <w:t xml:space="preserve"> – Report the incident to the Designated Safeguarding Lead as soon as possible and do not tell any other adults or children/young people about it. Ensure that the lead</w:t>
      </w:r>
    </w:p>
    <w:p w14:paraId="23EE5C69" w14:textId="77777777" w:rsidR="000D319A" w:rsidRPr="003072C8" w:rsidRDefault="000D319A" w:rsidP="000D319A">
      <w:r w:rsidRPr="003072C8">
        <w:t>person has your notes of what was said so that they can keep them in a safe place. If in</w:t>
      </w:r>
    </w:p>
    <w:p w14:paraId="0A5BE12B" w14:textId="77777777" w:rsidR="000D319A" w:rsidRPr="003072C8" w:rsidRDefault="000D319A" w:rsidP="000D319A">
      <w:r w:rsidRPr="003072C8">
        <w:t>any doubt what action should be taken, contact the Designated Safeguarding Lead.</w:t>
      </w:r>
    </w:p>
    <w:p w14:paraId="01D9EADE" w14:textId="77777777" w:rsidR="000D319A" w:rsidRPr="003072C8" w:rsidRDefault="000D319A" w:rsidP="000D319A"/>
    <w:p w14:paraId="39A8ECB7" w14:textId="3669F171" w:rsidR="000D319A" w:rsidRPr="003072C8" w:rsidRDefault="000D319A" w:rsidP="000D319A">
      <w:pPr>
        <w:sectPr w:rsidR="000D319A" w:rsidRPr="003072C8">
          <w:headerReference w:type="default" r:id="rId16"/>
          <w:pgSz w:w="11900" w:h="16841"/>
          <w:pgMar w:top="2138" w:right="1121" w:bottom="0" w:left="1134" w:header="658" w:footer="0" w:gutter="0"/>
          <w:cols w:space="720"/>
        </w:sectPr>
      </w:pPr>
      <w:r w:rsidRPr="003072C8">
        <w:rPr>
          <w:b/>
          <w:bCs/>
        </w:rPr>
        <w:lastRenderedPageBreak/>
        <w:t xml:space="preserve">The matter must not be investigated or discussed with anyone outside of the </w:t>
      </w:r>
      <w:r w:rsidRPr="002272ED">
        <w:rPr>
          <w:b/>
          <w:bCs/>
        </w:rPr>
        <w:t>organisation</w:t>
      </w:r>
      <w:r w:rsidR="00C571EE" w:rsidRPr="002272ED">
        <w:rPr>
          <w:b/>
          <w:bCs/>
        </w:rPr>
        <w:t xml:space="preserve"> except </w:t>
      </w:r>
      <w:r w:rsidR="002272ED" w:rsidRPr="002272ED">
        <w:rPr>
          <w:b/>
          <w:bCs/>
        </w:rPr>
        <w:t xml:space="preserve">when </w:t>
      </w:r>
      <w:r w:rsidR="00533CDF">
        <w:rPr>
          <w:b/>
          <w:bCs/>
        </w:rPr>
        <w:t xml:space="preserve">required to </w:t>
      </w:r>
      <w:r w:rsidR="002272ED" w:rsidRPr="002272ED">
        <w:rPr>
          <w:b/>
          <w:bCs/>
        </w:rPr>
        <w:t>communicat</w:t>
      </w:r>
      <w:r w:rsidR="00533CDF">
        <w:rPr>
          <w:b/>
          <w:bCs/>
        </w:rPr>
        <w:t>e</w:t>
      </w:r>
      <w:r w:rsidR="002272ED" w:rsidRPr="002272ED">
        <w:rPr>
          <w:b/>
          <w:bCs/>
        </w:rPr>
        <w:t xml:space="preserve"> details to </w:t>
      </w:r>
      <w:r w:rsidR="00C571EE" w:rsidRPr="002272ED">
        <w:rPr>
          <w:b/>
          <w:bCs/>
        </w:rPr>
        <w:t xml:space="preserve">relevant </w:t>
      </w:r>
      <w:r w:rsidR="002272ED" w:rsidRPr="002272ED">
        <w:rPr>
          <w:b/>
          <w:bCs/>
        </w:rPr>
        <w:t xml:space="preserve">external safeguarding organisations </w:t>
      </w:r>
    </w:p>
    <w:p w14:paraId="208DECD1" w14:textId="77777777" w:rsidR="000D319A" w:rsidRPr="003072C8" w:rsidRDefault="000D319A" w:rsidP="000D319A"/>
    <w:p w14:paraId="7FC2DA93" w14:textId="77777777" w:rsidR="000D319A" w:rsidRPr="003072C8" w:rsidRDefault="000D319A" w:rsidP="00B87CE9">
      <w:pPr>
        <w:pStyle w:val="Heading2"/>
      </w:pPr>
    </w:p>
    <w:p w14:paraId="714832A2" w14:textId="319F347E" w:rsidR="000D319A" w:rsidRPr="003072C8" w:rsidRDefault="003B0426" w:rsidP="00B87CE9">
      <w:pPr>
        <w:pStyle w:val="Heading2"/>
      </w:pPr>
      <w:bookmarkStart w:id="11" w:name="_Toc228899493"/>
      <w:r>
        <w:rPr>
          <w:b/>
          <w:bCs/>
          <w:u w:val="single"/>
        </w:rPr>
        <w:t xml:space="preserve">13 </w:t>
      </w:r>
      <w:r w:rsidR="000D319A" w:rsidRPr="003072C8">
        <w:rPr>
          <w:b/>
          <w:bCs/>
          <w:u w:val="single"/>
        </w:rPr>
        <w:t>PROTECTING THE ADULT TEAM (STAFF AND VOLUNTEERS)</w:t>
      </w:r>
      <w:bookmarkEnd w:id="11"/>
    </w:p>
    <w:p w14:paraId="79CB6D28" w14:textId="77777777" w:rsidR="000D319A" w:rsidRPr="003072C8" w:rsidRDefault="000D319A" w:rsidP="000D319A">
      <w:r w:rsidRPr="003072C8">
        <w:t>The Committee recognises the importance of protecting its leaders from possible allegations of abuse and recommends the following guidelines:</w:t>
      </w:r>
    </w:p>
    <w:p w14:paraId="0C277E90" w14:textId="77777777" w:rsidR="000D319A" w:rsidRPr="003072C8" w:rsidRDefault="000D319A" w:rsidP="000D319A">
      <w:r w:rsidRPr="003072C8">
        <w:rPr>
          <w:b/>
          <w:bCs/>
        </w:rPr>
        <w:t>Adults should not:</w:t>
      </w:r>
    </w:p>
    <w:p w14:paraId="622F047F" w14:textId="77777777" w:rsidR="000D319A" w:rsidRPr="003072C8" w:rsidRDefault="000D319A" w:rsidP="000D319A">
      <w:r w:rsidRPr="003072C8">
        <w:t xml:space="preserve">•    Be alone with young people unless </w:t>
      </w:r>
      <w:proofErr w:type="gramStart"/>
      <w:r w:rsidRPr="003072C8">
        <w:t>absolutely necessary</w:t>
      </w:r>
      <w:proofErr w:type="gramEnd"/>
      <w:r w:rsidRPr="003072C8">
        <w:t>. In this instance they must</w:t>
      </w:r>
    </w:p>
    <w:p w14:paraId="40CC6017" w14:textId="77777777" w:rsidR="000D319A" w:rsidRPr="003072C8" w:rsidRDefault="000D319A" w:rsidP="000D319A">
      <w:r w:rsidRPr="003072C8">
        <w:t>inform another adult, informing as to the reason for needing to be alone (i.e.: in certain circumstances to gain information about an incident away from the group)</w:t>
      </w:r>
    </w:p>
    <w:p w14:paraId="7B8F3808" w14:textId="77777777" w:rsidR="000D319A" w:rsidRPr="003072C8" w:rsidRDefault="000D319A" w:rsidP="000D319A">
      <w:r w:rsidRPr="003072C8">
        <w:t>•    Lock and unlock premises without another adult present.</w:t>
      </w:r>
    </w:p>
    <w:p w14:paraId="40657767" w14:textId="77777777" w:rsidR="000D319A" w:rsidRPr="003072C8" w:rsidRDefault="000D319A" w:rsidP="000D319A">
      <w:r w:rsidRPr="003072C8">
        <w:t>•    Transport young people 1:1 in a car/minibus or other vehicle without another adult present, unless, in an emergency and appropriate contacts have been made.</w:t>
      </w:r>
    </w:p>
    <w:p w14:paraId="0FA284DC" w14:textId="77777777" w:rsidR="000D319A" w:rsidRPr="003072C8" w:rsidRDefault="000D319A" w:rsidP="000D319A">
      <w:r w:rsidRPr="003072C8">
        <w:t>•    Take young people to their homes under any circumstances.</w:t>
      </w:r>
    </w:p>
    <w:p w14:paraId="68CFA89D" w14:textId="77777777" w:rsidR="000D319A" w:rsidRPr="003072C8" w:rsidRDefault="000D319A" w:rsidP="000D319A">
      <w:r w:rsidRPr="003072C8">
        <w:t>•    Make inappropriate contact with young people, i.e. develop relationships outside the club setting, including via personal social media websites such as Facebook, Instagram, and   Snapchat.</w:t>
      </w:r>
    </w:p>
    <w:p w14:paraId="01846DD3" w14:textId="77777777" w:rsidR="000D319A" w:rsidRPr="003072C8" w:rsidRDefault="000D319A" w:rsidP="000D319A">
      <w:r w:rsidRPr="003072C8">
        <w:t>•    Leave young people unattended.</w:t>
      </w:r>
    </w:p>
    <w:p w14:paraId="5075E283" w14:textId="77777777" w:rsidR="000D319A" w:rsidRPr="003072C8" w:rsidRDefault="000D319A" w:rsidP="000D319A">
      <w:r w:rsidRPr="003072C8">
        <w:t>•    Leave young people in the presence of adults who are not suitably trained.</w:t>
      </w:r>
    </w:p>
    <w:p w14:paraId="557F9188" w14:textId="77777777" w:rsidR="000D319A" w:rsidRPr="003072C8" w:rsidRDefault="000D319A" w:rsidP="000D319A">
      <w:r w:rsidRPr="003072C8">
        <w:t>•    Leave young people in the presence of adults not known to leaders.</w:t>
      </w:r>
    </w:p>
    <w:p w14:paraId="19FF00D3" w14:textId="77777777" w:rsidR="000D319A" w:rsidRPr="003072C8" w:rsidRDefault="000D319A" w:rsidP="000D319A">
      <w:r w:rsidRPr="003072C8">
        <w:t>•    Leave young people in the presence of adults who have not had relevant DBS checks.</w:t>
      </w:r>
    </w:p>
    <w:p w14:paraId="66CF6023" w14:textId="77777777" w:rsidR="000D319A" w:rsidRPr="003072C8" w:rsidRDefault="000D319A" w:rsidP="000D319A">
      <w:r w:rsidRPr="003072C8">
        <w:t>•    Leave young people in the presence of adults who do not hold a safeguarding certificate.</w:t>
      </w:r>
    </w:p>
    <w:p w14:paraId="3CA8157A" w14:textId="77777777" w:rsidR="000D319A" w:rsidRPr="003072C8" w:rsidRDefault="000D319A" w:rsidP="000D319A">
      <w:r w:rsidRPr="003072C8">
        <w:t>•    Show favouritism to young people within the club.</w:t>
      </w:r>
    </w:p>
    <w:p w14:paraId="174CBF57" w14:textId="77777777" w:rsidR="000D319A" w:rsidRPr="003072C8" w:rsidRDefault="000D319A" w:rsidP="000D319A"/>
    <w:p w14:paraId="76553429" w14:textId="77777777" w:rsidR="000D319A" w:rsidRPr="003072C8" w:rsidRDefault="000D319A" w:rsidP="000D319A"/>
    <w:p w14:paraId="3DBEF4A4" w14:textId="77777777" w:rsidR="000D319A" w:rsidRPr="003072C8" w:rsidRDefault="000D319A" w:rsidP="000D319A">
      <w:r w:rsidRPr="003072C8">
        <w:rPr>
          <w:b/>
          <w:bCs/>
        </w:rPr>
        <w:t>Allegations about Adults</w:t>
      </w:r>
    </w:p>
    <w:p w14:paraId="61BC1935" w14:textId="77777777" w:rsidR="000D319A" w:rsidRPr="003072C8" w:rsidRDefault="000D319A" w:rsidP="000D319A">
      <w:r w:rsidRPr="003072C8">
        <w:t>If any allegation is made or suspicions emerge regarding any leader, this should be reported to the Youth Worker or a Designated Safeguarding Lead.</w:t>
      </w:r>
    </w:p>
    <w:p w14:paraId="081FFA19" w14:textId="77777777" w:rsidR="000D319A" w:rsidRPr="003072C8" w:rsidRDefault="000D319A" w:rsidP="000D319A">
      <w:r w:rsidRPr="003072C8">
        <w:t>If an allegation concerns either a Designated Safeguarding Lead or the Youth Worker, the report should be made to another Designated Safeguarding Lead and/or the Chair of Trustees.</w:t>
      </w:r>
    </w:p>
    <w:p w14:paraId="4DCA3D84" w14:textId="77777777" w:rsidR="000D319A" w:rsidRPr="003072C8" w:rsidRDefault="000D319A" w:rsidP="000D319A">
      <w:r w:rsidRPr="003072C8">
        <w:t>If further action is required, the following procedure will apply during which all information relating to the allegation will remain confidential:</w:t>
      </w:r>
    </w:p>
    <w:p w14:paraId="62A6BFC7" w14:textId="77777777" w:rsidR="000D319A" w:rsidRPr="003072C8" w:rsidRDefault="000D319A" w:rsidP="000D319A">
      <w:r w:rsidRPr="003072C8">
        <w:t>•    A detailed factual record of the allegation and action taken to be written in line with the General Data Protection Regulation (GDPR).</w:t>
      </w:r>
    </w:p>
    <w:p w14:paraId="3218126E" w14:textId="4AEE0089" w:rsidR="000D319A" w:rsidRPr="003072C8" w:rsidRDefault="000D319A" w:rsidP="000D319A">
      <w:r w:rsidRPr="003072C8">
        <w:t>•    Information will be passed to the Chair of Trustees.</w:t>
      </w:r>
    </w:p>
    <w:p w14:paraId="565CBBC2" w14:textId="74D922B2" w:rsidR="000D319A" w:rsidRPr="003072C8" w:rsidRDefault="000D319A" w:rsidP="000D319A">
      <w:r w:rsidRPr="003072C8">
        <w:t>•    Consideration will be given to the suspension of the person involved, taking account of the risks to other young people and the leader concerned. If the allegation involves a club member (young person/young volunteer), contact will be made with the young person’s parent/guardian to advise them of the process, where appropriate.</w:t>
      </w:r>
    </w:p>
    <w:p w14:paraId="3E9BE030" w14:textId="77777777" w:rsidR="000D319A" w:rsidRPr="003072C8" w:rsidRDefault="000D319A" w:rsidP="000D319A">
      <w:r w:rsidRPr="003072C8">
        <w:t>Relevant external bodies will be advised.</w:t>
      </w:r>
    </w:p>
    <w:p w14:paraId="7CF45BB0" w14:textId="77777777" w:rsidR="000D319A" w:rsidRPr="003072C8" w:rsidRDefault="000D319A" w:rsidP="000D319A">
      <w:r w:rsidRPr="003072C8">
        <w:lastRenderedPageBreak/>
        <w:t>•    Information will be passed to the Club Chair.</w:t>
      </w:r>
    </w:p>
    <w:p w14:paraId="4C4C618D" w14:textId="690EF8DA" w:rsidR="000D319A" w:rsidRPr="003072C8" w:rsidRDefault="000D319A" w:rsidP="000D319A">
      <w:r w:rsidRPr="003072C8">
        <w:t>•    Consideration will be given to the suspension of the person involved, taking account of the risks to other young people, vulnerable adults, and the adult concerned.</w:t>
      </w:r>
      <w:r w:rsidR="00B87CE9">
        <w:br/>
      </w:r>
      <w:r w:rsidR="00B87CE9">
        <w:br/>
      </w:r>
      <w:r w:rsidRPr="003072C8">
        <w:t>If the allegation involves a club member (young person/youth volunteer), contact will be made with the young person’s parent/guardian to advise them of the process, where appropriate.</w:t>
      </w:r>
    </w:p>
    <w:p w14:paraId="29474BB2" w14:textId="77777777" w:rsidR="000D319A" w:rsidRPr="003072C8" w:rsidRDefault="000D319A" w:rsidP="000D319A">
      <w:r w:rsidRPr="003072C8">
        <w:t>Relevant external bodies will be advised.</w:t>
      </w:r>
    </w:p>
    <w:p w14:paraId="2F2FAD9A" w14:textId="77777777" w:rsidR="000D319A" w:rsidRPr="003072C8" w:rsidRDefault="000D319A" w:rsidP="00D911F7">
      <w:pPr>
        <w:pStyle w:val="Heading2"/>
      </w:pPr>
    </w:p>
    <w:p w14:paraId="5323C0CA" w14:textId="4A50466C" w:rsidR="000D319A" w:rsidRPr="003072C8" w:rsidRDefault="003B0426" w:rsidP="00D911F7">
      <w:pPr>
        <w:pStyle w:val="Heading2"/>
      </w:pPr>
      <w:bookmarkStart w:id="12" w:name="_Toc228899494"/>
      <w:r>
        <w:rPr>
          <w:b/>
          <w:bCs/>
        </w:rPr>
        <w:t xml:space="preserve">14. </w:t>
      </w:r>
      <w:r w:rsidR="000D319A" w:rsidRPr="003072C8">
        <w:rPr>
          <w:b/>
          <w:bCs/>
        </w:rPr>
        <w:t>Photography</w:t>
      </w:r>
      <w:bookmarkEnd w:id="12"/>
    </w:p>
    <w:p w14:paraId="1DA7E90A" w14:textId="77777777" w:rsidR="000D319A" w:rsidRPr="003072C8" w:rsidRDefault="000D319A" w:rsidP="000D319A">
      <w:r w:rsidRPr="003072C8">
        <w:t>Since young people and vulnerable adults may be photographed while participating in club</w:t>
      </w:r>
    </w:p>
    <w:p w14:paraId="24FF154E" w14:textId="60FC4071" w:rsidR="000D319A" w:rsidRPr="003072C8" w:rsidRDefault="000D319A" w:rsidP="000D319A">
      <w:r w:rsidRPr="003072C8">
        <w:t>events and activities, written permission from parents/guardians will be obtained which will also allow photographic material to be used in the public domain. Photography must be in line with safeguarding practices and removed from devices as soon as reasonably practicable.</w:t>
      </w:r>
    </w:p>
    <w:p w14:paraId="68E12A46" w14:textId="77777777" w:rsidR="000D319A" w:rsidRPr="003072C8" w:rsidRDefault="000D319A" w:rsidP="000D319A"/>
    <w:p w14:paraId="211FB093" w14:textId="718D7B44" w:rsidR="000D319A" w:rsidRPr="00D911F7" w:rsidRDefault="003B0426" w:rsidP="00D911F7">
      <w:pPr>
        <w:pStyle w:val="Heading2"/>
        <w:rPr>
          <w:b/>
          <w:bCs/>
        </w:rPr>
      </w:pPr>
      <w:bookmarkStart w:id="13" w:name="_Toc228899495"/>
      <w:r>
        <w:rPr>
          <w:b/>
          <w:bCs/>
        </w:rPr>
        <w:t xml:space="preserve">15. </w:t>
      </w:r>
      <w:r w:rsidR="000D319A" w:rsidRPr="00D911F7">
        <w:rPr>
          <w:b/>
          <w:bCs/>
        </w:rPr>
        <w:t>Confidentiality</w:t>
      </w:r>
      <w:bookmarkEnd w:id="13"/>
    </w:p>
    <w:p w14:paraId="57C5B584" w14:textId="77777777" w:rsidR="000D319A" w:rsidRPr="003072C8" w:rsidRDefault="000D319A" w:rsidP="000D319A">
      <w:r w:rsidRPr="003072C8">
        <w:t>• Under no circumstances will any leader keep confidential any information that raises concerns about the safety and welfare of a child, young person, or vulnerable adult.</w:t>
      </w:r>
    </w:p>
    <w:p w14:paraId="56D1790B" w14:textId="77777777" w:rsidR="000D319A" w:rsidRPr="003072C8" w:rsidRDefault="000D319A" w:rsidP="000D319A"/>
    <w:p w14:paraId="3D1D9102" w14:textId="77777777" w:rsidR="000D319A" w:rsidRPr="003072C8" w:rsidRDefault="000D319A" w:rsidP="000D319A">
      <w:r w:rsidRPr="003072C8">
        <w:t>• This statement relating to confidentiality must be made known to all who access any provision of Nantwich Youth and Community Centre.</w:t>
      </w:r>
    </w:p>
    <w:p w14:paraId="3250D6CA" w14:textId="77777777" w:rsidR="000D319A" w:rsidRPr="003072C8" w:rsidRDefault="000D319A" w:rsidP="000D319A"/>
    <w:p w14:paraId="624CCDC9" w14:textId="74949BBE" w:rsidR="000D319A" w:rsidRPr="003072C8" w:rsidRDefault="000D319A" w:rsidP="000D319A">
      <w:r w:rsidRPr="003072C8">
        <w:t xml:space="preserve">• All adults must be aware that they have a professional responsibility to share information with other agencies </w:t>
      </w:r>
      <w:proofErr w:type="gramStart"/>
      <w:r w:rsidRPr="003072C8">
        <w:t>in order to</w:t>
      </w:r>
      <w:proofErr w:type="gramEnd"/>
      <w:r w:rsidRPr="003072C8">
        <w:t xml:space="preserve"> safeguard children, young people, and vulnerable adults.</w:t>
      </w:r>
    </w:p>
    <w:p w14:paraId="377F8005" w14:textId="77777777" w:rsidR="000D319A" w:rsidRPr="003072C8" w:rsidRDefault="000D319A" w:rsidP="000D319A"/>
    <w:p w14:paraId="315F1E27" w14:textId="04AA7696" w:rsidR="00547D49" w:rsidRDefault="000D319A" w:rsidP="000D319A">
      <w:r w:rsidRPr="003072C8">
        <w:t>• All adults must be aware that they cannot promise a child that they will keep secrets.</w:t>
      </w:r>
    </w:p>
    <w:p w14:paraId="1A940633" w14:textId="77777777" w:rsidR="00547D49" w:rsidRDefault="00547D49">
      <w:r>
        <w:br w:type="page"/>
      </w:r>
    </w:p>
    <w:p w14:paraId="666325B5" w14:textId="77777777" w:rsidR="000D319A" w:rsidRPr="003072C8" w:rsidRDefault="000D319A" w:rsidP="000D319A"/>
    <w:p w14:paraId="29148BF2" w14:textId="77777777" w:rsidR="000D319A" w:rsidRPr="003072C8" w:rsidRDefault="000D319A" w:rsidP="000D319A"/>
    <w:p w14:paraId="14498B39" w14:textId="77777777" w:rsidR="000D319A" w:rsidRPr="003072C8" w:rsidRDefault="000D319A" w:rsidP="000D319A"/>
    <w:p w14:paraId="646EC80C" w14:textId="77777777" w:rsidR="000D319A" w:rsidRPr="003072C8" w:rsidRDefault="000D319A" w:rsidP="000D319A">
      <w:r w:rsidRPr="003072C8">
        <w:rPr>
          <w:b/>
          <w:bCs/>
          <w:u w:val="single"/>
        </w:rPr>
        <w:t>Signed on behalf of the Committee:</w:t>
      </w:r>
    </w:p>
    <w:p w14:paraId="08FD52FF" w14:textId="77777777" w:rsidR="000D319A" w:rsidRPr="003072C8" w:rsidRDefault="000D319A" w:rsidP="000D319A"/>
    <w:p w14:paraId="7965C3EB" w14:textId="73CEE672" w:rsidR="000D319A" w:rsidRPr="003072C8" w:rsidRDefault="000D319A" w:rsidP="000D319A">
      <w:r w:rsidRPr="003072C8">
        <w:rPr>
          <w:b/>
          <w:bCs/>
        </w:rPr>
        <w:t>Name … … … … … … … … … … … … … … … … … … … … … Chair</w:t>
      </w:r>
    </w:p>
    <w:p w14:paraId="501A12EB" w14:textId="77777777" w:rsidR="000D319A" w:rsidRPr="003072C8" w:rsidRDefault="000D319A" w:rsidP="000D319A"/>
    <w:p w14:paraId="1354A7A7" w14:textId="77777777" w:rsidR="000D319A" w:rsidRPr="003072C8" w:rsidRDefault="000D319A" w:rsidP="000D319A">
      <w:r w:rsidRPr="003072C8">
        <w:rPr>
          <w:b/>
          <w:bCs/>
        </w:rPr>
        <w:t>Signature … … … … … … … … … … … … … … … … … … … … … … … … … … … … … …</w:t>
      </w:r>
    </w:p>
    <w:p w14:paraId="31B062D2" w14:textId="77777777" w:rsidR="000D319A" w:rsidRPr="003072C8" w:rsidRDefault="000D319A" w:rsidP="000D319A"/>
    <w:p w14:paraId="56CBF21F" w14:textId="60F6DE65" w:rsidR="000D319A" w:rsidRPr="003072C8" w:rsidRDefault="000D319A" w:rsidP="000D319A">
      <w:r w:rsidRPr="003072C8">
        <w:rPr>
          <w:b/>
          <w:bCs/>
        </w:rPr>
        <w:t>Date …… … … … … … … … … … … … … … … … … … … … … … … … … … … … … … …</w:t>
      </w:r>
    </w:p>
    <w:p w14:paraId="69147550" w14:textId="77777777" w:rsidR="000D319A" w:rsidRPr="003072C8" w:rsidRDefault="000D319A" w:rsidP="000D319A"/>
    <w:p w14:paraId="50E56709" w14:textId="77777777" w:rsidR="000D319A" w:rsidRPr="003072C8" w:rsidRDefault="000D319A" w:rsidP="000D319A"/>
    <w:p w14:paraId="0BAEB078" w14:textId="636BA929" w:rsidR="000D319A" w:rsidRPr="003072C8" w:rsidRDefault="000D319A" w:rsidP="000D319A">
      <w:r w:rsidRPr="003072C8">
        <w:rPr>
          <w:b/>
          <w:bCs/>
        </w:rPr>
        <w:t xml:space="preserve">Name … … … … … … … … … … … … … … … … … … … … … </w:t>
      </w:r>
      <w:r w:rsidR="00883E4A" w:rsidRPr="003072C8">
        <w:rPr>
          <w:b/>
          <w:bCs/>
        </w:rPr>
        <w:t>Committee member</w:t>
      </w:r>
      <w:r w:rsidR="00547D49">
        <w:rPr>
          <w:b/>
          <w:bCs/>
        </w:rPr>
        <w:br/>
      </w:r>
    </w:p>
    <w:p w14:paraId="47B4AA29" w14:textId="79BEB99B" w:rsidR="000D319A" w:rsidRPr="003072C8" w:rsidRDefault="000D319A" w:rsidP="000D319A">
      <w:r w:rsidRPr="003072C8">
        <w:rPr>
          <w:b/>
          <w:bCs/>
        </w:rPr>
        <w:t>Signature … … … … … … … … … … … … … … … … … … … … … … … … … … … … … …</w:t>
      </w:r>
    </w:p>
    <w:p w14:paraId="78F0B411" w14:textId="77777777" w:rsidR="000D319A" w:rsidRPr="003072C8" w:rsidRDefault="000D319A" w:rsidP="000D319A"/>
    <w:p w14:paraId="4538F3D3" w14:textId="24E3653F" w:rsidR="000D319A" w:rsidRPr="003072C8" w:rsidRDefault="000D319A" w:rsidP="000D319A">
      <w:r w:rsidRPr="003072C8">
        <w:rPr>
          <w:b/>
          <w:bCs/>
        </w:rPr>
        <w:t>Date … … … … … … … … … … … … … … … … … … … … … … … … … … … … … … …</w:t>
      </w:r>
    </w:p>
    <w:p w14:paraId="34EEC509" w14:textId="77777777" w:rsidR="000D319A" w:rsidRPr="003072C8" w:rsidRDefault="000D319A" w:rsidP="000D319A"/>
    <w:p w14:paraId="4709CCE0" w14:textId="77777777" w:rsidR="000D319A" w:rsidRPr="003072C8" w:rsidRDefault="000D319A" w:rsidP="000D319A"/>
    <w:p w14:paraId="5E0588B6" w14:textId="77777777" w:rsidR="000D319A" w:rsidRPr="003072C8" w:rsidRDefault="000D319A" w:rsidP="000D319A">
      <w:r w:rsidRPr="003072C8">
        <w:rPr>
          <w:b/>
          <w:bCs/>
        </w:rPr>
        <w:t>Name … … … … … … … … … … … … … … … … … … … … … DSL</w:t>
      </w:r>
    </w:p>
    <w:p w14:paraId="155A9812" w14:textId="77777777" w:rsidR="000D319A" w:rsidRPr="003072C8" w:rsidRDefault="000D319A" w:rsidP="000D319A"/>
    <w:p w14:paraId="4F8897DF" w14:textId="77777777" w:rsidR="000D319A" w:rsidRPr="003072C8" w:rsidRDefault="000D319A" w:rsidP="000D319A">
      <w:r w:rsidRPr="003072C8">
        <w:rPr>
          <w:b/>
          <w:bCs/>
        </w:rPr>
        <w:t>Signature … … … … … … … … … … … … … … … … … … … … … … … … … … … … … …</w:t>
      </w:r>
    </w:p>
    <w:p w14:paraId="46371BBB" w14:textId="77777777" w:rsidR="000D319A" w:rsidRPr="003072C8" w:rsidRDefault="000D319A" w:rsidP="000D319A"/>
    <w:p w14:paraId="4B2FA6FB" w14:textId="77777777" w:rsidR="000D319A" w:rsidRPr="003072C8" w:rsidRDefault="000D319A" w:rsidP="000D319A">
      <w:r w:rsidRPr="003072C8">
        <w:rPr>
          <w:b/>
          <w:bCs/>
        </w:rPr>
        <w:t>Date … … … … … … … … … … … … … … … … … … … … … … … … … … … … … … … …</w:t>
      </w:r>
    </w:p>
    <w:p w14:paraId="7E25C10C" w14:textId="77777777" w:rsidR="000D319A" w:rsidRPr="003072C8" w:rsidRDefault="000D319A" w:rsidP="000D319A">
      <w:r w:rsidRPr="003072C8">
        <w:t>(This policy will be reviewed annually)</w:t>
      </w:r>
    </w:p>
    <w:p w14:paraId="096BEFB6" w14:textId="77777777" w:rsidR="000D319A" w:rsidRPr="003072C8" w:rsidRDefault="000D319A" w:rsidP="000D319A">
      <w:pPr>
        <w:sectPr w:rsidR="000D319A" w:rsidRPr="003072C8">
          <w:headerReference w:type="default" r:id="rId17"/>
          <w:pgSz w:w="11900" w:h="16841"/>
          <w:pgMar w:top="2138" w:right="1121" w:bottom="0" w:left="1133" w:header="658" w:footer="0" w:gutter="0"/>
          <w:cols w:space="720"/>
        </w:sectPr>
      </w:pPr>
    </w:p>
    <w:p w14:paraId="0CD7C075" w14:textId="77777777" w:rsidR="000D319A" w:rsidRPr="003072C8" w:rsidRDefault="000D319A" w:rsidP="000D319A"/>
    <w:p w14:paraId="4BFF09D7" w14:textId="77777777" w:rsidR="000D319A" w:rsidRPr="003072C8" w:rsidRDefault="000D319A" w:rsidP="000D319A"/>
    <w:tbl>
      <w:tblPr>
        <w:tblStyle w:val="TableNormal1"/>
        <w:tblW w:w="99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6"/>
        <w:gridCol w:w="1274"/>
        <w:gridCol w:w="2267"/>
        <w:gridCol w:w="3685"/>
        <w:gridCol w:w="1658"/>
      </w:tblGrid>
      <w:tr w:rsidR="000D319A" w:rsidRPr="003072C8" w14:paraId="5D0B3503" w14:textId="77777777" w:rsidTr="003C6EC5">
        <w:trPr>
          <w:trHeight w:val="239"/>
        </w:trPr>
        <w:tc>
          <w:tcPr>
            <w:tcW w:w="4647" w:type="dxa"/>
            <w:gridSpan w:val="3"/>
            <w:shd w:val="clear" w:color="auto" w:fill="BFBFBF"/>
          </w:tcPr>
          <w:p w14:paraId="122965EF" w14:textId="77777777" w:rsidR="000D319A" w:rsidRPr="003072C8" w:rsidRDefault="000D319A" w:rsidP="000D319A">
            <w:r w:rsidRPr="003072C8">
              <w:rPr>
                <w:b/>
                <w:bCs/>
                <w:i/>
                <w:iCs/>
              </w:rPr>
              <w:t>Document version history</w:t>
            </w:r>
          </w:p>
        </w:tc>
        <w:tc>
          <w:tcPr>
            <w:tcW w:w="5343" w:type="dxa"/>
            <w:gridSpan w:val="2"/>
          </w:tcPr>
          <w:p w14:paraId="593839B8" w14:textId="5503ACD3" w:rsidR="000D319A" w:rsidRPr="003072C8" w:rsidRDefault="00D911F7" w:rsidP="000D319A">
            <w:r>
              <w:rPr>
                <w:b/>
                <w:bCs/>
              </w:rPr>
              <w:t xml:space="preserve">v.2 </w:t>
            </w:r>
            <w:r w:rsidR="000D319A" w:rsidRPr="003072C8">
              <w:rPr>
                <w:b/>
                <w:bCs/>
              </w:rPr>
              <w:t>Author: Graham Fenton</w:t>
            </w:r>
            <w:r>
              <w:rPr>
                <w:b/>
                <w:bCs/>
              </w:rPr>
              <w:t xml:space="preserve"> &amp; Matt Deeley</w:t>
            </w:r>
          </w:p>
        </w:tc>
      </w:tr>
      <w:tr w:rsidR="000D319A" w:rsidRPr="003072C8" w14:paraId="4AF7EA11" w14:textId="77777777" w:rsidTr="003C6EC5">
        <w:trPr>
          <w:trHeight w:val="235"/>
        </w:trPr>
        <w:tc>
          <w:tcPr>
            <w:tcW w:w="9990" w:type="dxa"/>
            <w:gridSpan w:val="5"/>
          </w:tcPr>
          <w:p w14:paraId="11FDA6E2" w14:textId="77777777" w:rsidR="000D319A" w:rsidRPr="003072C8" w:rsidRDefault="000D319A" w:rsidP="000D319A"/>
        </w:tc>
      </w:tr>
      <w:tr w:rsidR="000D319A" w:rsidRPr="003072C8" w14:paraId="6F8B37FF" w14:textId="77777777" w:rsidTr="003C6EC5">
        <w:trPr>
          <w:trHeight w:val="235"/>
        </w:trPr>
        <w:tc>
          <w:tcPr>
            <w:tcW w:w="1106" w:type="dxa"/>
          </w:tcPr>
          <w:p w14:paraId="23DB7055" w14:textId="77777777" w:rsidR="000D319A" w:rsidRPr="003072C8" w:rsidRDefault="000D319A" w:rsidP="000D319A">
            <w:r w:rsidRPr="003072C8">
              <w:rPr>
                <w:b/>
                <w:bCs/>
              </w:rPr>
              <w:t>Version</w:t>
            </w:r>
          </w:p>
        </w:tc>
        <w:tc>
          <w:tcPr>
            <w:tcW w:w="1274" w:type="dxa"/>
          </w:tcPr>
          <w:p w14:paraId="347144C5" w14:textId="77777777" w:rsidR="000D319A" w:rsidRPr="003072C8" w:rsidRDefault="000D319A" w:rsidP="000D319A">
            <w:r w:rsidRPr="003072C8">
              <w:rPr>
                <w:b/>
                <w:bCs/>
              </w:rPr>
              <w:t>Date</w:t>
            </w:r>
          </w:p>
        </w:tc>
        <w:tc>
          <w:tcPr>
            <w:tcW w:w="5952" w:type="dxa"/>
            <w:gridSpan w:val="2"/>
          </w:tcPr>
          <w:p w14:paraId="786815E0" w14:textId="77777777" w:rsidR="000D319A" w:rsidRPr="003072C8" w:rsidRDefault="000D319A" w:rsidP="000D319A">
            <w:r w:rsidRPr="003072C8">
              <w:rPr>
                <w:b/>
                <w:bCs/>
              </w:rPr>
              <w:t>Amendments</w:t>
            </w:r>
          </w:p>
        </w:tc>
        <w:tc>
          <w:tcPr>
            <w:tcW w:w="1658" w:type="dxa"/>
          </w:tcPr>
          <w:p w14:paraId="4C1C2A2F" w14:textId="77777777" w:rsidR="000D319A" w:rsidRPr="003072C8" w:rsidRDefault="000D319A" w:rsidP="000D319A">
            <w:r w:rsidRPr="003072C8">
              <w:rPr>
                <w:b/>
                <w:bCs/>
              </w:rPr>
              <w:t>By whom</w:t>
            </w:r>
          </w:p>
        </w:tc>
      </w:tr>
      <w:tr w:rsidR="000D319A" w:rsidRPr="003072C8" w14:paraId="3080CA74" w14:textId="77777777" w:rsidTr="003C6EC5">
        <w:trPr>
          <w:trHeight w:val="1292"/>
        </w:trPr>
        <w:tc>
          <w:tcPr>
            <w:tcW w:w="1106" w:type="dxa"/>
          </w:tcPr>
          <w:p w14:paraId="4AF01331" w14:textId="77777777" w:rsidR="000D319A" w:rsidRPr="003072C8" w:rsidRDefault="000D319A" w:rsidP="000D319A"/>
        </w:tc>
        <w:tc>
          <w:tcPr>
            <w:tcW w:w="1274" w:type="dxa"/>
          </w:tcPr>
          <w:p w14:paraId="771D2BD2" w14:textId="77777777" w:rsidR="000D319A" w:rsidRPr="003072C8" w:rsidRDefault="000D319A" w:rsidP="000D319A"/>
        </w:tc>
        <w:tc>
          <w:tcPr>
            <w:tcW w:w="5952" w:type="dxa"/>
            <w:gridSpan w:val="2"/>
          </w:tcPr>
          <w:p w14:paraId="3526FC25" w14:textId="77777777" w:rsidR="000D319A" w:rsidRPr="003072C8" w:rsidRDefault="000D319A" w:rsidP="000D319A"/>
        </w:tc>
        <w:tc>
          <w:tcPr>
            <w:tcW w:w="1658" w:type="dxa"/>
          </w:tcPr>
          <w:p w14:paraId="33A3DDCD" w14:textId="77777777" w:rsidR="000D319A" w:rsidRPr="003072C8" w:rsidRDefault="000D319A" w:rsidP="000D319A"/>
        </w:tc>
      </w:tr>
      <w:tr w:rsidR="000D319A" w:rsidRPr="003072C8" w14:paraId="2434F01F" w14:textId="77777777" w:rsidTr="003C6EC5">
        <w:trPr>
          <w:trHeight w:val="374"/>
        </w:trPr>
        <w:tc>
          <w:tcPr>
            <w:tcW w:w="1106" w:type="dxa"/>
          </w:tcPr>
          <w:p w14:paraId="57E39AD5" w14:textId="77777777" w:rsidR="000D319A" w:rsidRPr="003072C8" w:rsidRDefault="000D319A" w:rsidP="000D319A"/>
        </w:tc>
        <w:tc>
          <w:tcPr>
            <w:tcW w:w="1274" w:type="dxa"/>
          </w:tcPr>
          <w:p w14:paraId="51B7BD49" w14:textId="77777777" w:rsidR="000D319A" w:rsidRPr="003072C8" w:rsidRDefault="000D319A" w:rsidP="000D319A"/>
        </w:tc>
        <w:tc>
          <w:tcPr>
            <w:tcW w:w="5952" w:type="dxa"/>
            <w:gridSpan w:val="2"/>
          </w:tcPr>
          <w:p w14:paraId="10E5868B" w14:textId="77777777" w:rsidR="000D319A" w:rsidRPr="003072C8" w:rsidRDefault="000D319A" w:rsidP="000D319A"/>
        </w:tc>
        <w:tc>
          <w:tcPr>
            <w:tcW w:w="1658" w:type="dxa"/>
          </w:tcPr>
          <w:p w14:paraId="506740FC" w14:textId="77777777" w:rsidR="000D319A" w:rsidRPr="003072C8" w:rsidRDefault="000D319A" w:rsidP="000D319A"/>
        </w:tc>
      </w:tr>
      <w:tr w:rsidR="000D319A" w:rsidRPr="003072C8" w14:paraId="0508F445" w14:textId="77777777" w:rsidTr="003C6EC5">
        <w:trPr>
          <w:trHeight w:val="2211"/>
        </w:trPr>
        <w:tc>
          <w:tcPr>
            <w:tcW w:w="1106" w:type="dxa"/>
          </w:tcPr>
          <w:p w14:paraId="1DEC904F" w14:textId="77777777" w:rsidR="000D319A" w:rsidRPr="003072C8" w:rsidRDefault="000D319A" w:rsidP="000D319A"/>
        </w:tc>
        <w:tc>
          <w:tcPr>
            <w:tcW w:w="1274" w:type="dxa"/>
          </w:tcPr>
          <w:p w14:paraId="1768DF46" w14:textId="77777777" w:rsidR="000D319A" w:rsidRPr="003072C8" w:rsidRDefault="000D319A" w:rsidP="000D319A"/>
        </w:tc>
        <w:tc>
          <w:tcPr>
            <w:tcW w:w="5952" w:type="dxa"/>
            <w:gridSpan w:val="2"/>
          </w:tcPr>
          <w:p w14:paraId="2D4A393A" w14:textId="77777777" w:rsidR="000D319A" w:rsidRPr="003072C8" w:rsidRDefault="000D319A" w:rsidP="000D319A"/>
        </w:tc>
        <w:tc>
          <w:tcPr>
            <w:tcW w:w="1658" w:type="dxa"/>
          </w:tcPr>
          <w:p w14:paraId="138233C6" w14:textId="77777777" w:rsidR="000D319A" w:rsidRPr="003072C8" w:rsidRDefault="000D319A" w:rsidP="000D319A"/>
        </w:tc>
      </w:tr>
      <w:tr w:rsidR="000D319A" w:rsidRPr="003072C8" w14:paraId="6466DCD9" w14:textId="77777777" w:rsidTr="003C6EC5">
        <w:trPr>
          <w:trHeight w:val="928"/>
        </w:trPr>
        <w:tc>
          <w:tcPr>
            <w:tcW w:w="1106" w:type="dxa"/>
          </w:tcPr>
          <w:p w14:paraId="438FBD87" w14:textId="77777777" w:rsidR="000D319A" w:rsidRPr="003072C8" w:rsidRDefault="000D319A" w:rsidP="000D319A"/>
        </w:tc>
        <w:tc>
          <w:tcPr>
            <w:tcW w:w="1274" w:type="dxa"/>
          </w:tcPr>
          <w:p w14:paraId="7C66C24D" w14:textId="77777777" w:rsidR="000D319A" w:rsidRPr="003072C8" w:rsidRDefault="000D319A" w:rsidP="000D319A"/>
        </w:tc>
        <w:tc>
          <w:tcPr>
            <w:tcW w:w="5952" w:type="dxa"/>
            <w:gridSpan w:val="2"/>
          </w:tcPr>
          <w:p w14:paraId="0D38F126" w14:textId="77777777" w:rsidR="000D319A" w:rsidRPr="003072C8" w:rsidRDefault="000D319A" w:rsidP="000D319A"/>
        </w:tc>
        <w:tc>
          <w:tcPr>
            <w:tcW w:w="1658" w:type="dxa"/>
          </w:tcPr>
          <w:p w14:paraId="5C87E4F1" w14:textId="77777777" w:rsidR="000D319A" w:rsidRPr="003072C8" w:rsidRDefault="000D319A" w:rsidP="000D319A"/>
        </w:tc>
      </w:tr>
    </w:tbl>
    <w:p w14:paraId="59334EDE" w14:textId="77777777" w:rsidR="000D319A" w:rsidRPr="003072C8" w:rsidRDefault="000D319A" w:rsidP="000D319A"/>
    <w:p w14:paraId="2435EAF5" w14:textId="77777777" w:rsidR="00696CE4" w:rsidRDefault="00696CE4"/>
    <w:sectPr w:rsidR="00696CE4">
      <w:headerReference w:type="default" r:id="rId18"/>
      <w:pgSz w:w="11900" w:h="16841"/>
      <w:pgMar w:top="2138" w:right="770" w:bottom="0" w:left="1132" w:header="6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7205" w14:textId="77777777" w:rsidR="002D35A2" w:rsidRPr="003072C8" w:rsidRDefault="002D35A2" w:rsidP="000D319A">
      <w:r w:rsidRPr="003072C8">
        <w:separator/>
      </w:r>
    </w:p>
  </w:endnote>
  <w:endnote w:type="continuationSeparator" w:id="0">
    <w:p w14:paraId="5BED2979" w14:textId="77777777" w:rsidR="002D35A2" w:rsidRPr="003072C8" w:rsidRDefault="002D35A2" w:rsidP="000D319A">
      <w:r w:rsidRPr="00307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89E7" w14:textId="77777777" w:rsidR="005F09BF" w:rsidRDefault="005F0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FB90" w14:textId="19BF1CB1" w:rsidR="00696CE4" w:rsidRPr="003072C8" w:rsidRDefault="006771CA">
    <w:pPr>
      <w:pStyle w:val="Footer"/>
      <w:rPr>
        <w:lang w:val="en-GB"/>
      </w:rPr>
    </w:pPr>
    <w:r>
      <w:rPr>
        <w:lang w:val="en-GB"/>
      </w:rPr>
      <w:t>V2 April 2026</w:t>
    </w:r>
  </w:p>
  <w:p w14:paraId="3AE49F1A" w14:textId="53BC7F2D" w:rsidR="00696CE4" w:rsidRPr="003072C8" w:rsidRDefault="00000000">
    <w:pPr>
      <w:pStyle w:val="Footer"/>
      <w:rPr>
        <w:lang w:val="en-GB"/>
      </w:rPr>
    </w:pPr>
    <w:r w:rsidRPr="003072C8">
      <w:rPr>
        <w:lang w:val="en-GB"/>
      </w:rPr>
      <w:t>The Guy Harvey Youth Club, Reg. Charity in England and Wales No 520086, 129 Birchin Lane, Nantwich, CW5 6ET</w:t>
    </w:r>
    <w:r w:rsidR="00533CDF">
      <w:rPr>
        <w:lang w:val="en-GB"/>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2008" w14:textId="77777777" w:rsidR="005F09BF" w:rsidRDefault="005F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83D7" w14:textId="77777777" w:rsidR="002D35A2" w:rsidRPr="003072C8" w:rsidRDefault="002D35A2" w:rsidP="000D319A">
      <w:r w:rsidRPr="003072C8">
        <w:separator/>
      </w:r>
    </w:p>
  </w:footnote>
  <w:footnote w:type="continuationSeparator" w:id="0">
    <w:p w14:paraId="44EB0D08" w14:textId="77777777" w:rsidR="002D35A2" w:rsidRPr="003072C8" w:rsidRDefault="002D35A2" w:rsidP="000D319A">
      <w:r w:rsidRPr="00307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F2D6" w14:textId="77777777" w:rsidR="005F09BF" w:rsidRDefault="005F0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6EC5" w14:textId="2B8A4213" w:rsidR="0005397E" w:rsidRPr="003072C8" w:rsidRDefault="0005397E" w:rsidP="0005397E">
    <w:pPr>
      <w:pStyle w:val="BodyText"/>
      <w:spacing w:before="354" w:line="196" w:lineRule="auto"/>
      <w:rPr>
        <w:b/>
        <w:bCs/>
        <w:spacing w:val="-2"/>
        <w:sz w:val="40"/>
        <w:szCs w:val="40"/>
        <w:lang w:val="en-GB"/>
      </w:rPr>
    </w:pPr>
    <w:r w:rsidRPr="003072C8">
      <w:rPr>
        <w:b/>
        <w:bCs/>
        <w:snapToGrid/>
        <w:spacing w:val="-2"/>
        <w:sz w:val="40"/>
        <w:szCs w:val="40"/>
        <w:lang w:val="en-GB"/>
      </w:rPr>
      <w:drawing>
        <wp:inline distT="0" distB="0" distL="0" distR="0" wp14:anchorId="7B797612" wp14:editId="6DF4F17D">
          <wp:extent cx="2172690" cy="935336"/>
          <wp:effectExtent l="0" t="0" r="0" b="5080"/>
          <wp:docPr id="1114188770" name="Picture 1"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8770" name="Picture 1"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1201" cy="956220"/>
                  </a:xfrm>
                  <a:prstGeom prst="rect">
                    <a:avLst/>
                  </a:prstGeom>
                </pic:spPr>
              </pic:pic>
            </a:graphicData>
          </a:graphic>
        </wp:inline>
      </w:drawing>
    </w:r>
  </w:p>
  <w:p w14:paraId="206572EB" w14:textId="7C0DD1BE" w:rsidR="00696CE4" w:rsidRPr="003072C8" w:rsidRDefault="00000000" w:rsidP="00BE3F1C">
    <w:pPr>
      <w:pStyle w:val="BodyText"/>
      <w:spacing w:before="354" w:line="196" w:lineRule="auto"/>
      <w:jc w:val="center"/>
      <w:rPr>
        <w:sz w:val="40"/>
        <w:szCs w:val="40"/>
        <w:lang w:val="en-GB"/>
      </w:rPr>
    </w:pPr>
    <w:r w:rsidRPr="003072C8">
      <w:rPr>
        <w:b/>
        <w:bCs/>
        <w:spacing w:val="-2"/>
        <w:sz w:val="40"/>
        <w:szCs w:val="40"/>
        <w:lang w:val="en-GB"/>
      </w:rPr>
      <w:t>Child</w:t>
    </w:r>
    <w:r w:rsidRPr="003072C8">
      <w:rPr>
        <w:b/>
        <w:bCs/>
        <w:spacing w:val="27"/>
        <w:sz w:val="40"/>
        <w:szCs w:val="40"/>
        <w:lang w:val="en-GB"/>
      </w:rPr>
      <w:t xml:space="preserve"> </w:t>
    </w:r>
    <w:r w:rsidRPr="003072C8">
      <w:rPr>
        <w:b/>
        <w:bCs/>
        <w:spacing w:val="-2"/>
        <w:sz w:val="40"/>
        <w:szCs w:val="40"/>
        <w:lang w:val="en-GB"/>
      </w:rPr>
      <w:t>Protection &amp; Safeguarding</w:t>
    </w:r>
    <w:r w:rsidRPr="003072C8">
      <w:rPr>
        <w:b/>
        <w:bCs/>
        <w:spacing w:val="28"/>
        <w:sz w:val="40"/>
        <w:szCs w:val="40"/>
        <w:lang w:val="en-GB"/>
      </w:rPr>
      <w:t xml:space="preserve"> </w:t>
    </w:r>
    <w:r w:rsidRPr="003072C8">
      <w:rPr>
        <w:b/>
        <w:bCs/>
        <w:spacing w:val="-2"/>
        <w:sz w:val="40"/>
        <w:szCs w:val="40"/>
        <w:lang w:val="en-GB"/>
      </w:rPr>
      <w:t>Policy</w:t>
    </w:r>
  </w:p>
  <w:p w14:paraId="6EF653CC" w14:textId="77777777" w:rsidR="00696CE4" w:rsidRPr="003072C8" w:rsidRDefault="00696CE4" w:rsidP="00BE3F1C">
    <w:pPr>
      <w:pStyle w:val="BodyText"/>
      <w:spacing w:line="245" w:lineRule="auto"/>
      <w:jc w:val="center"/>
      <w:rPr>
        <w:sz w:val="21"/>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4AB7" w14:textId="77777777" w:rsidR="005F09BF" w:rsidRDefault="005F0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0157" w14:textId="77777777" w:rsidR="0005397E" w:rsidRPr="003072C8" w:rsidRDefault="0005397E" w:rsidP="0005397E">
    <w:pPr>
      <w:pStyle w:val="BodyText"/>
      <w:spacing w:before="354" w:line="196" w:lineRule="auto"/>
      <w:rPr>
        <w:b/>
        <w:bCs/>
        <w:spacing w:val="-2"/>
        <w:sz w:val="40"/>
        <w:szCs w:val="40"/>
        <w:lang w:val="en-GB"/>
      </w:rPr>
    </w:pPr>
    <w:r w:rsidRPr="003072C8">
      <w:rPr>
        <w:b/>
        <w:bCs/>
        <w:snapToGrid/>
        <w:spacing w:val="-2"/>
        <w:sz w:val="40"/>
        <w:szCs w:val="40"/>
        <w:lang w:val="en-GB"/>
      </w:rPr>
      <w:drawing>
        <wp:inline distT="0" distB="0" distL="0" distR="0" wp14:anchorId="3CD9D553" wp14:editId="787067A8">
          <wp:extent cx="2153881" cy="927100"/>
          <wp:effectExtent l="0" t="0" r="5715" b="0"/>
          <wp:docPr id="1628486481" name="Picture 2"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86481" name="Picture 2"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2951" cy="939613"/>
                  </a:xfrm>
                  <a:prstGeom prst="rect">
                    <a:avLst/>
                  </a:prstGeom>
                </pic:spPr>
              </pic:pic>
            </a:graphicData>
          </a:graphic>
        </wp:inline>
      </w:drawing>
    </w:r>
  </w:p>
  <w:p w14:paraId="11997CA8" w14:textId="5139BCC0" w:rsidR="00696CE4" w:rsidRPr="003072C8" w:rsidRDefault="00000000" w:rsidP="0005397E">
    <w:pPr>
      <w:pStyle w:val="BodyText"/>
      <w:spacing w:before="354" w:line="196" w:lineRule="auto"/>
      <w:jc w:val="center"/>
      <w:rPr>
        <w:sz w:val="40"/>
        <w:szCs w:val="40"/>
        <w:lang w:val="en-GB"/>
      </w:rPr>
    </w:pPr>
    <w:r w:rsidRPr="003072C8">
      <w:rPr>
        <w:b/>
        <w:bCs/>
        <w:spacing w:val="-2"/>
        <w:sz w:val="40"/>
        <w:szCs w:val="40"/>
        <w:lang w:val="en-GB"/>
      </w:rPr>
      <w:t>Child</w:t>
    </w:r>
    <w:r w:rsidRPr="003072C8">
      <w:rPr>
        <w:b/>
        <w:bCs/>
        <w:spacing w:val="27"/>
        <w:sz w:val="40"/>
        <w:szCs w:val="40"/>
        <w:lang w:val="en-GB"/>
      </w:rPr>
      <w:t xml:space="preserve"> </w:t>
    </w:r>
    <w:r w:rsidRPr="003072C8">
      <w:rPr>
        <w:b/>
        <w:bCs/>
        <w:spacing w:val="-2"/>
        <w:sz w:val="40"/>
        <w:szCs w:val="40"/>
        <w:lang w:val="en-GB"/>
      </w:rPr>
      <w:t>Protection &amp; Safeguarding</w:t>
    </w:r>
    <w:r w:rsidRPr="003072C8">
      <w:rPr>
        <w:b/>
        <w:bCs/>
        <w:spacing w:val="28"/>
        <w:sz w:val="40"/>
        <w:szCs w:val="40"/>
        <w:lang w:val="en-GB"/>
      </w:rPr>
      <w:t xml:space="preserve"> </w:t>
    </w:r>
    <w:r w:rsidRPr="003072C8">
      <w:rPr>
        <w:b/>
        <w:bCs/>
        <w:spacing w:val="-2"/>
        <w:sz w:val="40"/>
        <w:szCs w:val="40"/>
        <w:lang w:val="en-GB"/>
      </w:rPr>
      <w:t>Policy</w:t>
    </w:r>
  </w:p>
  <w:p w14:paraId="484FEAB5" w14:textId="77777777" w:rsidR="00696CE4" w:rsidRPr="003072C8" w:rsidRDefault="00696CE4">
    <w:pPr>
      <w:pStyle w:val="BodyText"/>
      <w:spacing w:line="245" w:lineRule="auto"/>
      <w:rPr>
        <w:sz w:val="21"/>
        <w:lang w:val="en-GB"/>
      </w:rPr>
    </w:pPr>
  </w:p>
  <w:p w14:paraId="46954B91" w14:textId="77777777" w:rsidR="00696CE4" w:rsidRPr="003072C8" w:rsidRDefault="00696C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0536" w14:textId="77777777" w:rsidR="0005397E" w:rsidRPr="003072C8" w:rsidRDefault="0005397E" w:rsidP="0005397E">
    <w:pPr>
      <w:pStyle w:val="BodyText"/>
      <w:spacing w:before="354" w:line="196" w:lineRule="auto"/>
      <w:rPr>
        <w:b/>
        <w:bCs/>
        <w:spacing w:val="-2"/>
        <w:sz w:val="40"/>
        <w:szCs w:val="40"/>
        <w:lang w:val="en-GB"/>
      </w:rPr>
    </w:pPr>
    <w:r w:rsidRPr="003072C8">
      <w:rPr>
        <w:b/>
        <w:bCs/>
        <w:snapToGrid/>
        <w:spacing w:val="-2"/>
        <w:sz w:val="40"/>
        <w:szCs w:val="40"/>
        <w:lang w:val="en-GB"/>
      </w:rPr>
      <w:drawing>
        <wp:inline distT="0" distB="0" distL="0" distR="0" wp14:anchorId="79617F4F" wp14:editId="4260298C">
          <wp:extent cx="2241633" cy="965015"/>
          <wp:effectExtent l="0" t="0" r="0" b="635"/>
          <wp:docPr id="885910650" name="Picture 3"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10650" name="Picture 3"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5166" cy="970841"/>
                  </a:xfrm>
                  <a:prstGeom prst="rect">
                    <a:avLst/>
                  </a:prstGeom>
                </pic:spPr>
              </pic:pic>
            </a:graphicData>
          </a:graphic>
        </wp:inline>
      </w:drawing>
    </w:r>
  </w:p>
  <w:p w14:paraId="33E881FA" w14:textId="7E26B307" w:rsidR="00696CE4" w:rsidRPr="003072C8" w:rsidRDefault="00000000" w:rsidP="0005397E">
    <w:pPr>
      <w:pStyle w:val="BodyText"/>
      <w:spacing w:before="354" w:line="196" w:lineRule="auto"/>
      <w:jc w:val="center"/>
      <w:rPr>
        <w:sz w:val="40"/>
        <w:szCs w:val="40"/>
        <w:lang w:val="en-GB"/>
      </w:rPr>
    </w:pPr>
    <w:r w:rsidRPr="003072C8">
      <w:rPr>
        <w:b/>
        <w:bCs/>
        <w:spacing w:val="-2"/>
        <w:sz w:val="40"/>
        <w:szCs w:val="40"/>
        <w:lang w:val="en-GB"/>
      </w:rPr>
      <w:t>Child</w:t>
    </w:r>
    <w:r w:rsidRPr="003072C8">
      <w:rPr>
        <w:b/>
        <w:bCs/>
        <w:spacing w:val="27"/>
        <w:sz w:val="40"/>
        <w:szCs w:val="40"/>
        <w:lang w:val="en-GB"/>
      </w:rPr>
      <w:t xml:space="preserve"> </w:t>
    </w:r>
    <w:r w:rsidRPr="003072C8">
      <w:rPr>
        <w:b/>
        <w:bCs/>
        <w:spacing w:val="-2"/>
        <w:sz w:val="40"/>
        <w:szCs w:val="40"/>
        <w:lang w:val="en-GB"/>
      </w:rPr>
      <w:t>Protection &amp; Safeguarding</w:t>
    </w:r>
    <w:r w:rsidRPr="003072C8">
      <w:rPr>
        <w:b/>
        <w:bCs/>
        <w:spacing w:val="28"/>
        <w:sz w:val="40"/>
        <w:szCs w:val="40"/>
        <w:lang w:val="en-GB"/>
      </w:rPr>
      <w:t xml:space="preserve"> </w:t>
    </w:r>
    <w:r w:rsidRPr="003072C8">
      <w:rPr>
        <w:b/>
        <w:bCs/>
        <w:spacing w:val="-2"/>
        <w:sz w:val="40"/>
        <w:szCs w:val="40"/>
        <w:lang w:val="en-GB"/>
      </w:rPr>
      <w:t>Policy</w:t>
    </w:r>
  </w:p>
  <w:p w14:paraId="79CF1B99" w14:textId="77777777" w:rsidR="00696CE4" w:rsidRPr="003072C8" w:rsidRDefault="00696CE4">
    <w:pPr>
      <w:pStyle w:val="BodyText"/>
      <w:spacing w:line="245" w:lineRule="auto"/>
      <w:rPr>
        <w:sz w:val="21"/>
        <w:lang w:val="en-GB"/>
      </w:rPr>
    </w:pPr>
  </w:p>
  <w:p w14:paraId="7C027BFD" w14:textId="77777777" w:rsidR="00696CE4" w:rsidRPr="003072C8" w:rsidRDefault="00696CE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B26D" w14:textId="77777777" w:rsidR="0005397E" w:rsidRPr="003072C8" w:rsidRDefault="0005397E" w:rsidP="0005397E">
    <w:pPr>
      <w:pStyle w:val="BodyText"/>
      <w:spacing w:before="354" w:line="196" w:lineRule="auto"/>
      <w:rPr>
        <w:b/>
        <w:bCs/>
        <w:spacing w:val="-2"/>
        <w:sz w:val="40"/>
        <w:szCs w:val="40"/>
        <w:lang w:val="en-GB"/>
      </w:rPr>
    </w:pPr>
    <w:r w:rsidRPr="003072C8">
      <w:rPr>
        <w:b/>
        <w:bCs/>
        <w:snapToGrid/>
        <w:spacing w:val="-2"/>
        <w:sz w:val="40"/>
        <w:szCs w:val="40"/>
        <w:lang w:val="en-GB"/>
      </w:rPr>
      <w:drawing>
        <wp:inline distT="0" distB="0" distL="0" distR="0" wp14:anchorId="2AE478E3" wp14:editId="7972FA8A">
          <wp:extent cx="2271617" cy="977890"/>
          <wp:effectExtent l="0" t="0" r="1905" b="635"/>
          <wp:docPr id="1212502182" name="Picture 4"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02182" name="Picture 4"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1749" cy="995166"/>
                  </a:xfrm>
                  <a:prstGeom prst="rect">
                    <a:avLst/>
                  </a:prstGeom>
                </pic:spPr>
              </pic:pic>
            </a:graphicData>
          </a:graphic>
        </wp:inline>
      </w:drawing>
    </w:r>
  </w:p>
  <w:p w14:paraId="00533EA3" w14:textId="2082FE0B" w:rsidR="00696CE4" w:rsidRPr="003072C8" w:rsidRDefault="00000000" w:rsidP="0005397E">
    <w:pPr>
      <w:pStyle w:val="BodyText"/>
      <w:spacing w:before="354" w:line="196" w:lineRule="auto"/>
      <w:jc w:val="center"/>
      <w:rPr>
        <w:sz w:val="40"/>
        <w:szCs w:val="40"/>
        <w:lang w:val="en-GB"/>
      </w:rPr>
    </w:pPr>
    <w:r w:rsidRPr="003072C8">
      <w:rPr>
        <w:b/>
        <w:bCs/>
        <w:spacing w:val="-2"/>
        <w:sz w:val="40"/>
        <w:szCs w:val="40"/>
        <w:lang w:val="en-GB"/>
      </w:rPr>
      <w:t>Child</w:t>
    </w:r>
    <w:r w:rsidRPr="003072C8">
      <w:rPr>
        <w:b/>
        <w:bCs/>
        <w:spacing w:val="27"/>
        <w:sz w:val="40"/>
        <w:szCs w:val="40"/>
        <w:lang w:val="en-GB"/>
      </w:rPr>
      <w:t xml:space="preserve"> </w:t>
    </w:r>
    <w:r w:rsidRPr="003072C8">
      <w:rPr>
        <w:b/>
        <w:bCs/>
        <w:spacing w:val="-2"/>
        <w:sz w:val="40"/>
        <w:szCs w:val="40"/>
        <w:lang w:val="en-GB"/>
      </w:rPr>
      <w:t>Protection &amp; Safeguarding</w:t>
    </w:r>
    <w:r w:rsidRPr="003072C8">
      <w:rPr>
        <w:b/>
        <w:bCs/>
        <w:spacing w:val="28"/>
        <w:sz w:val="40"/>
        <w:szCs w:val="40"/>
        <w:lang w:val="en-GB"/>
      </w:rPr>
      <w:t xml:space="preserve"> </w:t>
    </w:r>
    <w:r w:rsidRPr="003072C8">
      <w:rPr>
        <w:b/>
        <w:bCs/>
        <w:spacing w:val="-2"/>
        <w:sz w:val="40"/>
        <w:szCs w:val="40"/>
        <w:lang w:val="en-GB"/>
      </w:rPr>
      <w:t>Policy</w:t>
    </w:r>
  </w:p>
  <w:p w14:paraId="1496AA37" w14:textId="77777777" w:rsidR="00696CE4" w:rsidRPr="003072C8" w:rsidRDefault="00696CE4">
    <w:pPr>
      <w:pStyle w:val="BodyText"/>
      <w:spacing w:line="245" w:lineRule="auto"/>
      <w:rPr>
        <w:sz w:val="21"/>
        <w:lang w:val="en-GB"/>
      </w:rPr>
    </w:pPr>
  </w:p>
  <w:p w14:paraId="730CBFE5" w14:textId="5C3589AC" w:rsidR="00696CE4" w:rsidRPr="003072C8" w:rsidRDefault="00696CE4">
    <w:pPr>
      <w:pStyle w:val="BodyText"/>
      <w:spacing w:before="86" w:line="196" w:lineRule="auto"/>
      <w:ind w:left="4713"/>
      <w:rPr>
        <w:sz w:val="30"/>
        <w:szCs w:val="30"/>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74B8" w14:textId="11D27125" w:rsidR="0005397E" w:rsidRPr="003072C8" w:rsidRDefault="0005397E" w:rsidP="0005397E">
    <w:pPr>
      <w:pStyle w:val="BodyText"/>
      <w:spacing w:before="354" w:line="196" w:lineRule="auto"/>
      <w:rPr>
        <w:b/>
        <w:bCs/>
        <w:spacing w:val="-2"/>
        <w:sz w:val="40"/>
        <w:szCs w:val="40"/>
        <w:lang w:val="en-GB"/>
      </w:rPr>
    </w:pPr>
    <w:r w:rsidRPr="003072C8">
      <w:rPr>
        <w:b/>
        <w:bCs/>
        <w:snapToGrid/>
        <w:spacing w:val="-2"/>
        <w:sz w:val="40"/>
        <w:szCs w:val="40"/>
        <w:lang w:val="en-GB"/>
      </w:rPr>
      <w:drawing>
        <wp:inline distT="0" distB="0" distL="0" distR="0" wp14:anchorId="514B5CA0" wp14:editId="4F3E1A48">
          <wp:extent cx="2692400" cy="1158910"/>
          <wp:effectExtent l="0" t="0" r="0" b="0"/>
          <wp:docPr id="454696548" name="Picture 7"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96548" name="Picture 7"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2999" cy="1163472"/>
                  </a:xfrm>
                  <a:prstGeom prst="rect">
                    <a:avLst/>
                  </a:prstGeom>
                </pic:spPr>
              </pic:pic>
            </a:graphicData>
          </a:graphic>
        </wp:inline>
      </w:drawing>
    </w:r>
  </w:p>
  <w:p w14:paraId="43FEE2FB" w14:textId="1DA252FD" w:rsidR="00696CE4" w:rsidRPr="003072C8" w:rsidRDefault="00000000" w:rsidP="00547D49">
    <w:pPr>
      <w:pStyle w:val="BodyText"/>
      <w:spacing w:before="354" w:line="196" w:lineRule="auto"/>
      <w:jc w:val="center"/>
      <w:rPr>
        <w:sz w:val="40"/>
        <w:szCs w:val="40"/>
        <w:lang w:val="en-GB"/>
      </w:rPr>
    </w:pPr>
    <w:r w:rsidRPr="003072C8">
      <w:rPr>
        <w:b/>
        <w:bCs/>
        <w:spacing w:val="-2"/>
        <w:sz w:val="40"/>
        <w:szCs w:val="40"/>
        <w:lang w:val="en-GB"/>
      </w:rPr>
      <w:t>Child</w:t>
    </w:r>
    <w:r w:rsidRPr="003072C8">
      <w:rPr>
        <w:b/>
        <w:bCs/>
        <w:spacing w:val="27"/>
        <w:sz w:val="40"/>
        <w:szCs w:val="40"/>
        <w:lang w:val="en-GB"/>
      </w:rPr>
      <w:t xml:space="preserve"> </w:t>
    </w:r>
    <w:r w:rsidRPr="003072C8">
      <w:rPr>
        <w:b/>
        <w:bCs/>
        <w:spacing w:val="-2"/>
        <w:sz w:val="40"/>
        <w:szCs w:val="40"/>
        <w:lang w:val="en-GB"/>
      </w:rPr>
      <w:t>Protection &amp; Safeguarding</w:t>
    </w:r>
    <w:r w:rsidRPr="003072C8">
      <w:rPr>
        <w:b/>
        <w:bCs/>
        <w:spacing w:val="28"/>
        <w:sz w:val="40"/>
        <w:szCs w:val="40"/>
        <w:lang w:val="en-GB"/>
      </w:rPr>
      <w:t xml:space="preserve"> </w:t>
    </w:r>
    <w:r w:rsidRPr="003072C8">
      <w:rPr>
        <w:b/>
        <w:bCs/>
        <w:spacing w:val="-2"/>
        <w:sz w:val="40"/>
        <w:szCs w:val="40"/>
        <w:lang w:val="en-GB"/>
      </w:rPr>
      <w:t>Policy</w:t>
    </w:r>
  </w:p>
  <w:p w14:paraId="452E5C04" w14:textId="77777777" w:rsidR="00696CE4" w:rsidRPr="003072C8" w:rsidRDefault="00696CE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237D" w14:textId="77777777" w:rsidR="0005397E" w:rsidRPr="003072C8" w:rsidRDefault="0005397E">
    <w:pPr>
      <w:pStyle w:val="BodyText"/>
      <w:spacing w:before="354" w:line="196" w:lineRule="auto"/>
      <w:jc w:val="right"/>
      <w:rPr>
        <w:b/>
        <w:bCs/>
        <w:spacing w:val="-2"/>
        <w:sz w:val="40"/>
        <w:szCs w:val="40"/>
        <w:lang w:val="en-GB"/>
      </w:rPr>
    </w:pPr>
  </w:p>
  <w:p w14:paraId="10E42107" w14:textId="4B6E334D" w:rsidR="0005397E" w:rsidRPr="003072C8" w:rsidRDefault="0005397E" w:rsidP="0005397E">
    <w:pPr>
      <w:pStyle w:val="BodyText"/>
      <w:spacing w:before="354" w:line="196" w:lineRule="auto"/>
      <w:rPr>
        <w:b/>
        <w:bCs/>
        <w:spacing w:val="-2"/>
        <w:sz w:val="40"/>
        <w:szCs w:val="40"/>
        <w:lang w:val="en-GB"/>
      </w:rPr>
    </w:pPr>
    <w:r w:rsidRPr="003072C8">
      <w:rPr>
        <w:b/>
        <w:bCs/>
        <w:snapToGrid/>
        <w:spacing w:val="-2"/>
        <w:sz w:val="40"/>
        <w:szCs w:val="40"/>
        <w:lang w:val="en-GB"/>
      </w:rPr>
      <w:drawing>
        <wp:inline distT="0" distB="0" distL="0" distR="0" wp14:anchorId="5DB2FBAB" wp14:editId="5A2F8B98">
          <wp:extent cx="2270143" cy="977265"/>
          <wp:effectExtent l="0" t="0" r="3175" b="635"/>
          <wp:docPr id="1978836773" name="Picture 6"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36773" name="Picture 6"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5364" cy="983817"/>
                  </a:xfrm>
                  <a:prstGeom prst="rect">
                    <a:avLst/>
                  </a:prstGeom>
                </pic:spPr>
              </pic:pic>
            </a:graphicData>
          </a:graphic>
        </wp:inline>
      </w:drawing>
    </w:r>
  </w:p>
  <w:p w14:paraId="1DC68D44" w14:textId="04497397" w:rsidR="00696CE4" w:rsidRPr="003072C8" w:rsidRDefault="00000000" w:rsidP="0005397E">
    <w:pPr>
      <w:pStyle w:val="BodyText"/>
      <w:spacing w:before="354" w:line="196" w:lineRule="auto"/>
      <w:jc w:val="center"/>
      <w:rPr>
        <w:sz w:val="40"/>
        <w:szCs w:val="40"/>
        <w:lang w:val="en-GB"/>
      </w:rPr>
    </w:pPr>
    <w:r w:rsidRPr="003072C8">
      <w:rPr>
        <w:b/>
        <w:bCs/>
        <w:spacing w:val="-2"/>
        <w:sz w:val="40"/>
        <w:szCs w:val="40"/>
        <w:lang w:val="en-GB"/>
      </w:rPr>
      <w:t>Child</w:t>
    </w:r>
    <w:r w:rsidRPr="003072C8">
      <w:rPr>
        <w:b/>
        <w:bCs/>
        <w:spacing w:val="27"/>
        <w:sz w:val="40"/>
        <w:szCs w:val="40"/>
        <w:lang w:val="en-GB"/>
      </w:rPr>
      <w:t xml:space="preserve"> </w:t>
    </w:r>
    <w:r w:rsidRPr="003072C8">
      <w:rPr>
        <w:b/>
        <w:bCs/>
        <w:spacing w:val="-2"/>
        <w:sz w:val="40"/>
        <w:szCs w:val="40"/>
        <w:lang w:val="en-GB"/>
      </w:rPr>
      <w:t>Protection &amp; Safeguarding</w:t>
    </w:r>
    <w:r w:rsidRPr="003072C8">
      <w:rPr>
        <w:b/>
        <w:bCs/>
        <w:spacing w:val="28"/>
        <w:sz w:val="40"/>
        <w:szCs w:val="40"/>
        <w:lang w:val="en-GB"/>
      </w:rPr>
      <w:t xml:space="preserve"> </w:t>
    </w:r>
    <w:r w:rsidRPr="003072C8">
      <w:rPr>
        <w:b/>
        <w:bCs/>
        <w:spacing w:val="-2"/>
        <w:sz w:val="40"/>
        <w:szCs w:val="40"/>
        <w:lang w:val="en-GB"/>
      </w:rPr>
      <w:t>Policy</w:t>
    </w:r>
  </w:p>
  <w:p w14:paraId="652621D3" w14:textId="77777777" w:rsidR="00696CE4" w:rsidRPr="003072C8" w:rsidRDefault="00696CE4">
    <w:pPr>
      <w:pStyle w:val="BodyText"/>
      <w:spacing w:line="245" w:lineRule="auto"/>
      <w:rPr>
        <w:sz w:val="21"/>
        <w:lang w:val="en-GB"/>
      </w:rPr>
    </w:pPr>
  </w:p>
  <w:p w14:paraId="02EC775E" w14:textId="1D58CB24" w:rsidR="00696CE4" w:rsidRPr="003072C8" w:rsidRDefault="00696CE4">
    <w:pPr>
      <w:pStyle w:val="BodyText"/>
      <w:spacing w:before="86" w:line="196" w:lineRule="auto"/>
      <w:ind w:left="4714"/>
      <w:rPr>
        <w:sz w:val="30"/>
        <w:szCs w:val="3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D8D"/>
    <w:multiLevelType w:val="multilevel"/>
    <w:tmpl w:val="C89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83192"/>
    <w:multiLevelType w:val="multilevel"/>
    <w:tmpl w:val="DAC2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672C1"/>
    <w:multiLevelType w:val="multilevel"/>
    <w:tmpl w:val="29D2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948343">
    <w:abstractNumId w:val="0"/>
  </w:num>
  <w:num w:numId="2" w16cid:durableId="1445154970">
    <w:abstractNumId w:val="2"/>
  </w:num>
  <w:num w:numId="3" w16cid:durableId="45922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9A"/>
    <w:rsid w:val="0005397E"/>
    <w:rsid w:val="00074225"/>
    <w:rsid w:val="00092122"/>
    <w:rsid w:val="000B70C1"/>
    <w:rsid w:val="000D319A"/>
    <w:rsid w:val="001361B3"/>
    <w:rsid w:val="0016661C"/>
    <w:rsid w:val="001943A0"/>
    <w:rsid w:val="001A0291"/>
    <w:rsid w:val="002272ED"/>
    <w:rsid w:val="00262395"/>
    <w:rsid w:val="0026598A"/>
    <w:rsid w:val="002C2EAB"/>
    <w:rsid w:val="002D35A2"/>
    <w:rsid w:val="002E5612"/>
    <w:rsid w:val="003072C8"/>
    <w:rsid w:val="00351664"/>
    <w:rsid w:val="003B0426"/>
    <w:rsid w:val="00493BB1"/>
    <w:rsid w:val="004D0678"/>
    <w:rsid w:val="005025D8"/>
    <w:rsid w:val="00533CDF"/>
    <w:rsid w:val="00547D49"/>
    <w:rsid w:val="00586194"/>
    <w:rsid w:val="00587E18"/>
    <w:rsid w:val="00597F98"/>
    <w:rsid w:val="005A5156"/>
    <w:rsid w:val="005F09BF"/>
    <w:rsid w:val="006771CA"/>
    <w:rsid w:val="00677C1E"/>
    <w:rsid w:val="00696CE4"/>
    <w:rsid w:val="006D6F55"/>
    <w:rsid w:val="007A13C5"/>
    <w:rsid w:val="00883E4A"/>
    <w:rsid w:val="008B18F5"/>
    <w:rsid w:val="008E6060"/>
    <w:rsid w:val="00907CD0"/>
    <w:rsid w:val="00935DB3"/>
    <w:rsid w:val="009A2E1E"/>
    <w:rsid w:val="009A384E"/>
    <w:rsid w:val="009C3D63"/>
    <w:rsid w:val="009E76A5"/>
    <w:rsid w:val="00A004E0"/>
    <w:rsid w:val="00A03412"/>
    <w:rsid w:val="00A136F9"/>
    <w:rsid w:val="00A458AB"/>
    <w:rsid w:val="00A54DF8"/>
    <w:rsid w:val="00AC79E8"/>
    <w:rsid w:val="00AD0984"/>
    <w:rsid w:val="00B649F8"/>
    <w:rsid w:val="00B87CE9"/>
    <w:rsid w:val="00BA752D"/>
    <w:rsid w:val="00BE3F1C"/>
    <w:rsid w:val="00C26A51"/>
    <w:rsid w:val="00C30F76"/>
    <w:rsid w:val="00C542F7"/>
    <w:rsid w:val="00C571EE"/>
    <w:rsid w:val="00C94E22"/>
    <w:rsid w:val="00CD49AB"/>
    <w:rsid w:val="00CD7C30"/>
    <w:rsid w:val="00D3218A"/>
    <w:rsid w:val="00D911F7"/>
    <w:rsid w:val="00DB57E8"/>
    <w:rsid w:val="00DE6A1B"/>
    <w:rsid w:val="00EA1CF2"/>
    <w:rsid w:val="00EC2086"/>
    <w:rsid w:val="00F02C9A"/>
    <w:rsid w:val="00F47BA3"/>
    <w:rsid w:val="00F62A1D"/>
    <w:rsid w:val="00FC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A8F6"/>
  <w15:chartTrackingRefBased/>
  <w15:docId w15:val="{A4FDBED1-ECAB-A849-A00B-5063C264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19A"/>
    <w:rPr>
      <w:rFonts w:eastAsiaTheme="majorEastAsia" w:cstheme="majorBidi"/>
      <w:color w:val="272727" w:themeColor="text1" w:themeTint="D8"/>
    </w:rPr>
  </w:style>
  <w:style w:type="paragraph" w:styleId="Title">
    <w:name w:val="Title"/>
    <w:basedOn w:val="Normal"/>
    <w:next w:val="Normal"/>
    <w:link w:val="TitleChar"/>
    <w:uiPriority w:val="10"/>
    <w:qFormat/>
    <w:rsid w:val="000D3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319A"/>
    <w:rPr>
      <w:i/>
      <w:iCs/>
      <w:color w:val="404040" w:themeColor="text1" w:themeTint="BF"/>
    </w:rPr>
  </w:style>
  <w:style w:type="paragraph" w:styleId="ListParagraph">
    <w:name w:val="List Paragraph"/>
    <w:basedOn w:val="Normal"/>
    <w:uiPriority w:val="34"/>
    <w:qFormat/>
    <w:rsid w:val="000D319A"/>
    <w:pPr>
      <w:ind w:left="720"/>
      <w:contextualSpacing/>
    </w:pPr>
  </w:style>
  <w:style w:type="character" w:styleId="IntenseEmphasis">
    <w:name w:val="Intense Emphasis"/>
    <w:basedOn w:val="DefaultParagraphFont"/>
    <w:uiPriority w:val="21"/>
    <w:qFormat/>
    <w:rsid w:val="000D319A"/>
    <w:rPr>
      <w:i/>
      <w:iCs/>
      <w:color w:val="0F4761" w:themeColor="accent1" w:themeShade="BF"/>
    </w:rPr>
  </w:style>
  <w:style w:type="paragraph" w:styleId="IntenseQuote">
    <w:name w:val="Intense Quote"/>
    <w:basedOn w:val="Normal"/>
    <w:next w:val="Normal"/>
    <w:link w:val="IntenseQuoteChar"/>
    <w:uiPriority w:val="30"/>
    <w:qFormat/>
    <w:rsid w:val="000D3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19A"/>
    <w:rPr>
      <w:i/>
      <w:iCs/>
      <w:color w:val="0F4761" w:themeColor="accent1" w:themeShade="BF"/>
    </w:rPr>
  </w:style>
  <w:style w:type="character" w:styleId="IntenseReference">
    <w:name w:val="Intense Reference"/>
    <w:basedOn w:val="DefaultParagraphFont"/>
    <w:uiPriority w:val="32"/>
    <w:qFormat/>
    <w:rsid w:val="000D319A"/>
    <w:rPr>
      <w:b/>
      <w:bCs/>
      <w:smallCaps/>
      <w:color w:val="0F4761" w:themeColor="accent1" w:themeShade="BF"/>
      <w:spacing w:val="5"/>
    </w:rPr>
  </w:style>
  <w:style w:type="paragraph" w:styleId="BodyText">
    <w:name w:val="Body Text"/>
    <w:basedOn w:val="Normal"/>
    <w:link w:val="BodyTextChar"/>
    <w:semiHidden/>
    <w:qFormat/>
    <w:rsid w:val="000D319A"/>
    <w:pPr>
      <w:kinsoku w:val="0"/>
      <w:autoSpaceDE w:val="0"/>
      <w:autoSpaceDN w:val="0"/>
      <w:adjustRightInd w:val="0"/>
      <w:snapToGrid w:val="0"/>
      <w:textAlignment w:val="baseline"/>
    </w:pPr>
    <w:rPr>
      <w:rFonts w:ascii="Arial" w:eastAsia="Arial" w:hAnsi="Arial" w:cs="Arial"/>
      <w:snapToGrid w:val="0"/>
      <w:color w:val="000000"/>
      <w:sz w:val="22"/>
      <w:szCs w:val="22"/>
      <w:lang w:val="en-US"/>
    </w:rPr>
  </w:style>
  <w:style w:type="character" w:customStyle="1" w:styleId="BodyTextChar">
    <w:name w:val="Body Text Char"/>
    <w:basedOn w:val="DefaultParagraphFont"/>
    <w:link w:val="BodyText"/>
    <w:semiHidden/>
    <w:rsid w:val="000D319A"/>
    <w:rPr>
      <w:rFonts w:ascii="Arial" w:eastAsia="Arial" w:hAnsi="Arial" w:cs="Arial"/>
      <w:snapToGrid w:val="0"/>
      <w:color w:val="000000"/>
      <w:sz w:val="22"/>
      <w:szCs w:val="22"/>
      <w:lang w:val="en-US"/>
    </w:rPr>
  </w:style>
  <w:style w:type="paragraph" w:styleId="Footer">
    <w:name w:val="footer"/>
    <w:basedOn w:val="Normal"/>
    <w:link w:val="FooterChar"/>
    <w:rsid w:val="000D319A"/>
    <w:pPr>
      <w:tabs>
        <w:tab w:val="center" w:pos="4153"/>
        <w:tab w:val="right" w:pos="8306"/>
      </w:tabs>
      <w:kinsoku w:val="0"/>
      <w:autoSpaceDE w:val="0"/>
      <w:autoSpaceDN w:val="0"/>
      <w:adjustRightInd w:val="0"/>
      <w:snapToGrid w:val="0"/>
      <w:textAlignment w:val="baseline"/>
    </w:pPr>
    <w:rPr>
      <w:rFonts w:ascii="Arial" w:eastAsia="Arial" w:hAnsi="Arial" w:cs="Arial"/>
      <w:snapToGrid w:val="0"/>
      <w:color w:val="000000"/>
      <w:sz w:val="18"/>
      <w:szCs w:val="18"/>
      <w:lang w:val="en-US"/>
    </w:rPr>
  </w:style>
  <w:style w:type="character" w:customStyle="1" w:styleId="FooterChar">
    <w:name w:val="Footer Char"/>
    <w:basedOn w:val="DefaultParagraphFont"/>
    <w:link w:val="Footer"/>
    <w:rsid w:val="000D319A"/>
    <w:rPr>
      <w:rFonts w:ascii="Arial" w:eastAsia="Arial" w:hAnsi="Arial" w:cs="Arial"/>
      <w:snapToGrid w:val="0"/>
      <w:color w:val="000000"/>
      <w:sz w:val="18"/>
      <w:szCs w:val="18"/>
      <w:lang w:val="en-US"/>
    </w:rPr>
  </w:style>
  <w:style w:type="table" w:customStyle="1" w:styleId="TableNormal1">
    <w:name w:val="Table Normal1"/>
    <w:semiHidden/>
    <w:unhideWhenUsed/>
    <w:qFormat/>
    <w:rsid w:val="000D319A"/>
    <w:rPr>
      <w:rFonts w:ascii="Arial" w:eastAsia="Arial" w:hAnsi="Arial" w:cs="Arial"/>
      <w:sz w:val="20"/>
      <w:szCs w:val="20"/>
      <w:lang w:eastAsia="en-GB"/>
    </w:rPr>
    <w:tblPr>
      <w:tblCellMar>
        <w:top w:w="0" w:type="dxa"/>
        <w:left w:w="0" w:type="dxa"/>
        <w:bottom w:w="0" w:type="dxa"/>
        <w:right w:w="0" w:type="dxa"/>
      </w:tblCellMar>
    </w:tblPr>
  </w:style>
  <w:style w:type="paragraph" w:customStyle="1" w:styleId="TableText">
    <w:name w:val="Table Text"/>
    <w:basedOn w:val="Normal"/>
    <w:semiHidden/>
    <w:qFormat/>
    <w:rsid w:val="000D319A"/>
    <w:pPr>
      <w:kinsoku w:val="0"/>
      <w:autoSpaceDE w:val="0"/>
      <w:autoSpaceDN w:val="0"/>
      <w:adjustRightInd w:val="0"/>
      <w:snapToGrid w:val="0"/>
      <w:textAlignment w:val="baseline"/>
    </w:pPr>
    <w:rPr>
      <w:rFonts w:ascii="Arial" w:eastAsia="Arial" w:hAnsi="Arial" w:cs="Arial"/>
      <w:snapToGrid w:val="0"/>
      <w:color w:val="000000"/>
      <w:sz w:val="22"/>
      <w:szCs w:val="22"/>
      <w:lang w:val="en-US"/>
    </w:rPr>
  </w:style>
  <w:style w:type="paragraph" w:styleId="Header">
    <w:name w:val="header"/>
    <w:basedOn w:val="Normal"/>
    <w:link w:val="HeaderChar"/>
    <w:rsid w:val="000D319A"/>
    <w:pPr>
      <w:tabs>
        <w:tab w:val="center" w:pos="4513"/>
        <w:tab w:val="right" w:pos="9026"/>
      </w:tabs>
      <w:kinsoku w:val="0"/>
      <w:autoSpaceDE w:val="0"/>
      <w:autoSpaceDN w:val="0"/>
      <w:adjustRightInd w:val="0"/>
      <w:snapToGrid w:val="0"/>
      <w:textAlignment w:val="baseline"/>
    </w:pPr>
    <w:rPr>
      <w:rFonts w:ascii="Arial" w:eastAsia="Arial" w:hAnsi="Arial" w:cs="Arial"/>
      <w:snapToGrid w:val="0"/>
      <w:color w:val="000000"/>
      <w:sz w:val="21"/>
      <w:szCs w:val="21"/>
      <w:lang w:val="en-US"/>
    </w:rPr>
  </w:style>
  <w:style w:type="character" w:customStyle="1" w:styleId="HeaderChar">
    <w:name w:val="Header Char"/>
    <w:basedOn w:val="DefaultParagraphFont"/>
    <w:link w:val="Header"/>
    <w:rsid w:val="000D319A"/>
    <w:rPr>
      <w:rFonts w:ascii="Arial" w:eastAsia="Arial" w:hAnsi="Arial" w:cs="Arial"/>
      <w:snapToGrid w:val="0"/>
      <w:color w:val="000000"/>
      <w:sz w:val="21"/>
      <w:szCs w:val="21"/>
      <w:lang w:val="en-US"/>
    </w:rPr>
  </w:style>
  <w:style w:type="character" w:styleId="Hyperlink">
    <w:name w:val="Hyperlink"/>
    <w:basedOn w:val="DefaultParagraphFont"/>
    <w:uiPriority w:val="99"/>
    <w:unhideWhenUsed/>
    <w:rsid w:val="00F62A1D"/>
    <w:rPr>
      <w:color w:val="467886" w:themeColor="hyperlink"/>
      <w:u w:val="single"/>
    </w:rPr>
  </w:style>
  <w:style w:type="character" w:styleId="UnresolvedMention">
    <w:name w:val="Unresolved Mention"/>
    <w:basedOn w:val="DefaultParagraphFont"/>
    <w:uiPriority w:val="99"/>
    <w:semiHidden/>
    <w:unhideWhenUsed/>
    <w:rsid w:val="00F62A1D"/>
    <w:rPr>
      <w:color w:val="605E5C"/>
      <w:shd w:val="clear" w:color="auto" w:fill="E1DFDD"/>
    </w:rPr>
  </w:style>
  <w:style w:type="paragraph" w:styleId="TOCHeading">
    <w:name w:val="TOC Heading"/>
    <w:basedOn w:val="Heading1"/>
    <w:next w:val="Normal"/>
    <w:uiPriority w:val="39"/>
    <w:unhideWhenUsed/>
    <w:qFormat/>
    <w:rsid w:val="00AD0984"/>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AD098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343B-447D-4A44-BE07-E943C42F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18</Pages>
  <Words>4442</Words>
  <Characters>22881</Characters>
  <Application>Microsoft Office Word</Application>
  <DocSecurity>0</DocSecurity>
  <Lines>544</Lines>
  <Paragraphs>303</Paragraphs>
  <ScaleCrop>false</ScaleCrop>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burton</dc:creator>
  <cp:keywords/>
  <dc:description/>
  <cp:lastModifiedBy>Matt Deeley</cp:lastModifiedBy>
  <cp:revision>37</cp:revision>
  <dcterms:created xsi:type="dcterms:W3CDTF">2026-05-05T14:18:00Z</dcterms:created>
  <dcterms:modified xsi:type="dcterms:W3CDTF">2026-05-05T19:51:00Z</dcterms:modified>
</cp:coreProperties>
</file>